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color w:val="FF0000"/>
          <w:w w:val="80"/>
          <w:sz w:val="84"/>
          <w:szCs w:val="84"/>
        </w:rPr>
      </w:pPr>
      <w:r>
        <w:rPr>
          <w:rFonts w:hint="eastAsia" w:ascii="Times New Roman" w:hAnsi="Times New Roman" w:cs="Times New Roman"/>
          <w:color w:val="FF0000"/>
          <w:w w:val="80"/>
          <w:sz w:val="84"/>
          <w:szCs w:val="84"/>
        </w:rPr>
        <w:t>南 昌 大 学 部 门 函 件</w:t>
      </w:r>
    </w:p>
    <w:p>
      <w:pPr>
        <w:tabs>
          <w:tab w:val="left" w:pos="180"/>
        </w:tabs>
        <w:jc w:val="center"/>
        <w:rPr>
          <w:rFonts w:ascii="Times New Roman" w:hAnsi="Times New Roman" w:cs="Times New Roman"/>
          <w:sz w:val="28"/>
          <w:szCs w:val="28"/>
          <w:u w:val="thick"/>
        </w:rPr>
      </w:pPr>
      <w:r>
        <w:rPr>
          <w:rFonts w:ascii="Times New Roman" w:hAnsi="Times New Roman" w:cs="Times New Roman"/>
          <w:sz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322580</wp:posOffset>
                </wp:positionV>
                <wp:extent cx="5615940" cy="8890"/>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5615940" cy="8890"/>
                        </a:xfrm>
                        <a:prstGeom prst="line">
                          <a:avLst/>
                        </a:prstGeom>
                        <a:ln w="9525"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flip:y;margin-left:0pt;margin-top:25.4pt;height:0.7pt;width:442.2pt;z-index:251660288;mso-width-relative:page;mso-height-relative:page;" filled="f" stroked="t" coordsize="21600,21600" o:gfxdata="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Ar7pW1gAAAAYBAAAPAAAAAAAAAAEAIAAAACIAAABkcnMvZG93bnJldi54bWxQ&#10;SwECFAAUAAAACACHTuJAfNP+e/kBAADlAwAADgAAAAAAAAABACAAAAAlAQAAZHJzL2Uyb0RvYy54&#10;bWxQSwUGAAAAAAYABgBZAQAAkAUAAAAA&#10;">
                <v:fill on="f" focussize="0,0"/>
                <v:stroke color="#FF0000" joinstyle="round"/>
                <v:imagedata o:title=""/>
                <o:lock v:ext="edit" aspectratio="f"/>
              </v:line>
            </w:pict>
          </mc:Fallback>
        </mc:AlternateContent>
      </w:r>
      <w:r>
        <w:rPr>
          <w:rFonts w:ascii="Times New Roman" w:hAnsi="Times New Roman" w:cs="Times New Roman"/>
          <w:color w:val="FF0000"/>
          <w:sz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266700</wp:posOffset>
                </wp:positionV>
                <wp:extent cx="5615940" cy="1016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615940" cy="10160"/>
                        </a:xfrm>
                        <a:prstGeom prst="line">
                          <a:avLst/>
                        </a:prstGeom>
                        <a:ln w="25400"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flip:y;margin-left:0pt;margin-top:21pt;height:0.8pt;width:442.2pt;z-index:251659264;mso-width-relative:page;mso-height-relative:page;" filled="f" stroked="t" coordsize="21600,21600" o:gfxdata="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xVb1i9MAAAAGAQAADwAAAAAAAAABACAAAAAiAAAAZHJzL2Rvd25yZXYueG1sUEsB&#10;AhQAFAAAAAgAh07iQKKoCvz6AQAA5wMAAA4AAAAAAAAAAQAgAAAAIgEAAGRycy9lMm9Eb2MueG1s&#10;UEsFBgAAAAAGAAYAWQEAAI4FAAAAAA==&#10;">
                <v:fill on="f" focussize="0,0"/>
                <v:stroke weight="2pt" color="#FF0000" joinstyle="round"/>
                <v:imagedata o:title=""/>
                <o:lock v:ext="edit" aspectratio="f"/>
              </v:line>
            </w:pict>
          </mc:Fallback>
        </mc:AlternateContent>
      </w:r>
    </w:p>
    <w:p>
      <w:pPr>
        <w:wordWrap w:val="0"/>
        <w:jc w:val="right"/>
        <w:rPr>
          <w:rFonts w:ascii="Times New Roman" w:hAnsi="Times New Roman" w:cs="Times New Roman"/>
          <w:b/>
          <w:sz w:val="44"/>
          <w:szCs w:val="44"/>
        </w:rPr>
      </w:pPr>
      <w:r>
        <w:rPr>
          <w:rFonts w:hint="eastAsia" w:ascii="Times New Roman" w:hAnsi="Times New Roman" w:eastAsia="仿宋_GB2312" w:cs="Times New Roman"/>
          <w:sz w:val="32"/>
          <w:szCs w:val="32"/>
        </w:rPr>
        <w:t>南大研工函〔202</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rPr>
        <w:t>号</w:t>
      </w:r>
    </w:p>
    <w:p>
      <w:pPr>
        <w:autoSpaceDN w:val="0"/>
        <w:spacing w:before="156" w:beforeLines="50"/>
        <w:jc w:val="center"/>
        <w:rPr>
          <w:rFonts w:ascii="Times New Roman" w:hAnsi="Times New Roman" w:cs="Times New Roman"/>
          <w:b/>
          <w:color w:val="000000" w:themeColor="text1"/>
          <w:sz w:val="44"/>
          <w:szCs w:val="44"/>
          <w14:textFill>
            <w14:solidFill>
              <w14:schemeClr w14:val="tx1"/>
            </w14:solidFill>
          </w14:textFill>
        </w:rPr>
      </w:pPr>
      <w:r>
        <w:rPr>
          <w:rFonts w:ascii="Times New Roman" w:hAnsi="Times New Roman" w:cs="Times New Roman"/>
          <w:b/>
          <w:color w:val="000000" w:themeColor="text1"/>
          <w:sz w:val="44"/>
          <w:szCs w:val="44"/>
          <w14:textFill>
            <w14:solidFill>
              <w14:schemeClr w14:val="tx1"/>
            </w14:solidFill>
          </w14:textFill>
        </w:rPr>
        <w:t>关于</w:t>
      </w:r>
      <w:r>
        <w:rPr>
          <w:rFonts w:hint="eastAsia" w:ascii="Times New Roman" w:hAnsi="Times New Roman" w:cs="Times New Roman"/>
          <w:b/>
          <w:color w:val="000000" w:themeColor="text1"/>
          <w:sz w:val="44"/>
          <w:szCs w:val="44"/>
          <w14:textFill>
            <w14:solidFill>
              <w14:schemeClr w14:val="tx1"/>
            </w14:solidFill>
          </w14:textFill>
        </w:rPr>
        <w:t>做好</w:t>
      </w:r>
      <w:r>
        <w:rPr>
          <w:rFonts w:hint="eastAsia" w:ascii="Times New Roman" w:hAnsi="Times New Roman" w:cs="Times New Roman"/>
          <w:b/>
          <w:sz w:val="44"/>
          <w:szCs w:val="44"/>
        </w:rPr>
        <w:t>202</w:t>
      </w:r>
      <w:r>
        <w:rPr>
          <w:rFonts w:ascii="Times New Roman" w:hAnsi="Times New Roman" w:cs="Times New Roman"/>
          <w:b/>
          <w:sz w:val="44"/>
          <w:szCs w:val="44"/>
        </w:rPr>
        <w:t>3</w:t>
      </w:r>
      <w:r>
        <w:rPr>
          <w:rFonts w:hint="eastAsia" w:ascii="Times New Roman" w:hAnsi="Times New Roman" w:cs="Times New Roman"/>
          <w:b/>
          <w:color w:val="000000" w:themeColor="text1"/>
          <w:sz w:val="44"/>
          <w:szCs w:val="44"/>
          <w14:textFill>
            <w14:solidFill>
              <w14:schemeClr w14:val="tx1"/>
            </w14:solidFill>
          </w14:textFill>
        </w:rPr>
        <w:t>级全日制</w:t>
      </w:r>
      <w:r>
        <w:rPr>
          <w:rFonts w:ascii="Times New Roman" w:hAnsi="Times New Roman" w:cs="Times New Roman"/>
          <w:b/>
          <w:color w:val="000000" w:themeColor="text1"/>
          <w:sz w:val="44"/>
          <w:szCs w:val="44"/>
          <w14:textFill>
            <w14:solidFill>
              <w14:schemeClr w14:val="tx1"/>
            </w14:solidFill>
          </w14:textFill>
        </w:rPr>
        <w:t>研究生</w:t>
      </w:r>
      <w:r>
        <w:rPr>
          <w:rFonts w:hint="eastAsia" w:ascii="Times New Roman" w:hAnsi="Times New Roman" w:cs="Times New Roman"/>
          <w:b/>
          <w:color w:val="000000" w:themeColor="text1"/>
          <w:sz w:val="44"/>
          <w:szCs w:val="44"/>
          <w14:textFill>
            <w14:solidFill>
              <w14:schemeClr w14:val="tx1"/>
            </w14:solidFill>
          </w14:textFill>
        </w:rPr>
        <w:t>学业</w:t>
      </w:r>
      <w:r>
        <w:rPr>
          <w:rFonts w:ascii="Times New Roman" w:hAnsi="Times New Roman" w:cs="Times New Roman"/>
          <w:b/>
          <w:color w:val="000000" w:themeColor="text1"/>
          <w:sz w:val="44"/>
          <w:szCs w:val="44"/>
          <w14:textFill>
            <w14:solidFill>
              <w14:schemeClr w14:val="tx1"/>
            </w14:solidFill>
          </w14:textFill>
        </w:rPr>
        <w:t>奖学金</w:t>
      </w:r>
      <w:r>
        <w:rPr>
          <w:rFonts w:hint="eastAsia" w:ascii="Times New Roman" w:hAnsi="Times New Roman" w:cs="Times New Roman"/>
          <w:b/>
          <w:color w:val="000000" w:themeColor="text1"/>
          <w:sz w:val="44"/>
          <w:szCs w:val="44"/>
          <w14:textFill>
            <w14:solidFill>
              <w14:schemeClr w14:val="tx1"/>
            </w14:solidFill>
          </w14:textFill>
        </w:rPr>
        <w:t xml:space="preserve"> </w:t>
      </w:r>
    </w:p>
    <w:p>
      <w:pPr>
        <w:autoSpaceDN w:val="0"/>
        <w:jc w:val="center"/>
        <w:rPr>
          <w:rFonts w:ascii="Times New Roman" w:hAnsi="Times New Roman" w:cs="Times New Roman"/>
          <w:b/>
          <w:color w:val="000000" w:themeColor="text1"/>
          <w:sz w:val="44"/>
          <w:szCs w:val="44"/>
          <w14:textFill>
            <w14:solidFill>
              <w14:schemeClr w14:val="tx1"/>
            </w14:solidFill>
          </w14:textFill>
        </w:rPr>
      </w:pPr>
      <w:r>
        <w:rPr>
          <w:rFonts w:hint="eastAsia" w:ascii="Times New Roman" w:hAnsi="Times New Roman" w:cs="Times New Roman"/>
          <w:b/>
          <w:color w:val="000000" w:themeColor="text1"/>
          <w:sz w:val="44"/>
          <w:szCs w:val="44"/>
          <w14:textFill>
            <w14:solidFill>
              <w14:schemeClr w14:val="tx1"/>
            </w14:solidFill>
          </w14:textFill>
        </w:rPr>
        <w:t>首次评定工作</w:t>
      </w:r>
      <w:r>
        <w:rPr>
          <w:rFonts w:ascii="Times New Roman" w:hAnsi="Times New Roman" w:cs="Times New Roman"/>
          <w:b/>
          <w:color w:val="000000" w:themeColor="text1"/>
          <w:sz w:val="44"/>
          <w:szCs w:val="44"/>
          <w14:textFill>
            <w14:solidFill>
              <w14:schemeClr w14:val="tx1"/>
            </w14:solidFill>
          </w14:textFill>
        </w:rPr>
        <w:t>的通知</w:t>
      </w:r>
    </w:p>
    <w:p>
      <w:pPr>
        <w:autoSpaceDN w:val="0"/>
        <w:jc w:val="center"/>
        <w:rPr>
          <w:rFonts w:ascii="Times New Roman" w:hAnsi="Times New Roman" w:cs="Times New Roman"/>
          <w:b/>
          <w:color w:val="000000" w:themeColor="text1"/>
          <w:sz w:val="44"/>
          <w:szCs w:val="44"/>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各研究生培养单位：</w:t>
      </w:r>
    </w:p>
    <w:p>
      <w:pPr>
        <w:keepNext w:val="0"/>
        <w:keepLines w:val="0"/>
        <w:pageBreakBefore w:val="0"/>
        <w:kinsoku/>
        <w:wordWrap/>
        <w:overflowPunct/>
        <w:topLinePunct w:val="0"/>
        <w:autoSpaceDE/>
        <w:bidi w:val="0"/>
        <w:adjustRightInd/>
        <w:snapToGrid/>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根据《江西省财政厅 教育厅 人力资源和社会保障厅 退役军人事务厅 人民政府征兵办公室关于印发</w:t>
      </w:r>
      <w:r>
        <w:rPr>
          <w:rFonts w:hint="eastAsia" w:ascii="Times New Roman" w:hAnsi="Times New Roman" w:eastAsia="仿宋_GB2312" w:cs="Times New Roman"/>
          <w:color w:val="000000" w:themeColor="text1"/>
          <w:sz w:val="36"/>
          <w:szCs w:val="36"/>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江西省学生资助资金管理办法</w:t>
      </w:r>
      <w:r>
        <w:rPr>
          <w:rFonts w:hint="eastAsia" w:ascii="Times New Roman" w:hAnsi="Times New Roman" w:eastAsia="仿宋_GB2312" w:cs="Times New Roman"/>
          <w:color w:val="000000" w:themeColor="text1"/>
          <w:sz w:val="36"/>
          <w:szCs w:val="36"/>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的通知》（赣财教〔2023〕2号）和《南昌大学研究生学业奖学金评审办法》（南大字〔2022〕87号）文件精神，决</w:t>
      </w:r>
      <w:r>
        <w:rPr>
          <w:rFonts w:ascii="Times New Roman" w:hAnsi="Times New Roman" w:eastAsia="仿宋_GB2312" w:cs="Times New Roman"/>
          <w:color w:val="000000" w:themeColor="text1"/>
          <w:sz w:val="32"/>
          <w:szCs w:val="32"/>
          <w14:textFill>
            <w14:solidFill>
              <w14:schemeClr w14:val="tx1"/>
            </w14:solidFill>
          </w14:textFill>
        </w:rPr>
        <w:t>定通过“研究生教育</w:t>
      </w:r>
      <w:r>
        <w:rPr>
          <w:rFonts w:hint="eastAsia" w:ascii="Times New Roman" w:hAnsi="Times New Roman" w:eastAsia="仿宋_GB2312" w:cs="Times New Roman"/>
          <w:color w:val="000000" w:themeColor="text1"/>
          <w:sz w:val="32"/>
          <w:szCs w:val="32"/>
          <w14:textFill>
            <w14:solidFill>
              <w14:schemeClr w14:val="tx1"/>
            </w14:solidFill>
          </w14:textFill>
        </w:rPr>
        <w:t>教学</w:t>
      </w:r>
      <w:r>
        <w:rPr>
          <w:rFonts w:ascii="Times New Roman" w:hAnsi="Times New Roman" w:eastAsia="仿宋_GB2312" w:cs="Times New Roman"/>
          <w:color w:val="000000" w:themeColor="text1"/>
          <w:sz w:val="32"/>
          <w:szCs w:val="32"/>
          <w14:textFill>
            <w14:solidFill>
              <w14:schemeClr w14:val="tx1"/>
            </w14:solidFill>
          </w14:textFill>
        </w:rPr>
        <w:t>管理系统”平台</w:t>
      </w:r>
      <w:r>
        <w:rPr>
          <w:rFonts w:hint="eastAsia" w:ascii="Times New Roman" w:hAnsi="Times New Roman" w:eastAsia="仿宋_GB2312" w:cs="Times New Roman"/>
          <w:color w:val="000000" w:themeColor="text1"/>
          <w:sz w:val="32"/>
          <w:szCs w:val="32"/>
          <w14:textFill>
            <w14:solidFill>
              <w14:schemeClr w14:val="tx1"/>
            </w14:solidFill>
          </w14:textFill>
        </w:rPr>
        <w:t>开展202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eastAsia" w:ascii="Times New Roman" w:hAnsi="Times New Roman" w:eastAsia="仿宋_GB2312" w:cs="Times New Roman"/>
          <w:color w:val="000000" w:themeColor="text1"/>
          <w:sz w:val="32"/>
          <w:szCs w:val="32"/>
          <w14:textFill>
            <w14:solidFill>
              <w14:schemeClr w14:val="tx1"/>
            </w14:solidFill>
          </w14:textFill>
        </w:rPr>
        <w:t>级全日制研究生学业奖学金首次评定工作</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现通知如下：</w:t>
      </w:r>
    </w:p>
    <w:p>
      <w:pPr>
        <w:keepNext w:val="0"/>
        <w:keepLines w:val="0"/>
        <w:pageBreakBefore w:val="0"/>
        <w:kinsoku/>
        <w:wordWrap/>
        <w:overflowPunct/>
        <w:topLinePunct w:val="0"/>
        <w:autoSpaceDE/>
        <w:autoSpaceDN w:val="0"/>
        <w:bidi w:val="0"/>
        <w:adjustRightInd/>
        <w:snapToGrid/>
        <w:spacing w:line="560" w:lineRule="exact"/>
        <w:ind w:firstLine="645"/>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一、评定对象</w:t>
      </w:r>
    </w:p>
    <w:p>
      <w:pPr>
        <w:keepNext w:val="0"/>
        <w:keepLines w:val="0"/>
        <w:pageBreakBefore w:val="0"/>
        <w:widowControl/>
        <w:kinsoku/>
        <w:wordWrap/>
        <w:overflowPunct/>
        <w:topLinePunct w:val="0"/>
        <w:autoSpaceDE/>
        <w:bidi w:val="0"/>
        <w:adjustRightInd/>
        <w:snapToGrid/>
        <w:spacing w:line="560" w:lineRule="exact"/>
        <w:ind w:firstLine="640" w:firstLineChars="200"/>
        <w:jc w:val="left"/>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202</w:t>
      </w:r>
      <w:r>
        <w:rPr>
          <w:rFonts w:ascii="Times New Roman" w:hAnsi="Times New Roman" w:eastAsia="仿宋_GB2312" w:cs="Times New Roman"/>
          <w:color w:val="000000" w:themeColor="text1"/>
          <w:sz w:val="32"/>
          <w:szCs w:val="32"/>
          <w14:textFill>
            <w14:solidFill>
              <w14:schemeClr w14:val="tx1"/>
            </w14:solidFill>
          </w14:textFill>
        </w:rPr>
        <w:t>3</w:t>
      </w:r>
      <w:r>
        <w:rPr>
          <w:rFonts w:hint="eastAsia" w:ascii="Times New Roman" w:hAnsi="Times New Roman" w:eastAsia="仿宋_GB2312" w:cs="Times New Roman"/>
          <w:color w:val="000000" w:themeColor="text1"/>
          <w:sz w:val="32"/>
          <w:szCs w:val="32"/>
          <w14:textFill>
            <w14:solidFill>
              <w14:schemeClr w14:val="tx1"/>
            </w14:solidFill>
          </w14:textFill>
        </w:rPr>
        <w:t>级全日制在校研究生（不含定向委培及人事档案不在我校的研究生、规定学制外的延期毕业研究生、港澳台研究生和外国留学研究生）。</w:t>
      </w:r>
    </w:p>
    <w:p>
      <w:pPr>
        <w:keepNext w:val="0"/>
        <w:keepLines w:val="0"/>
        <w:pageBreakBefore w:val="0"/>
        <w:kinsoku/>
        <w:wordWrap/>
        <w:overflowPunct/>
        <w:topLinePunct w:val="0"/>
        <w:autoSpaceDE/>
        <w:autoSpaceDN w:val="0"/>
        <w:bidi w:val="0"/>
        <w:adjustRightInd/>
        <w:snapToGrid/>
        <w:spacing w:line="560" w:lineRule="exact"/>
        <w:ind w:firstLine="640" w:firstLineChars="200"/>
        <w:rPr>
          <w:rFonts w:ascii="Times New Roman" w:hAnsi="Times New Roman" w:eastAsia="黑体" w:cs="Times New Roman"/>
          <w:color w:val="000000" w:themeColor="text1"/>
          <w:kern w:val="0"/>
          <w:sz w:val="32"/>
          <w:szCs w:val="32"/>
          <w14:textFill>
            <w14:solidFill>
              <w14:schemeClr w14:val="tx1"/>
            </w14:solidFill>
          </w14:textFill>
        </w:rPr>
      </w:pPr>
      <w:r>
        <w:rPr>
          <w:rFonts w:hint="eastAsia" w:ascii="Times New Roman" w:hAnsi="Times New Roman" w:eastAsia="黑体" w:cs="Times New Roman"/>
          <w:color w:val="000000" w:themeColor="text1"/>
          <w:kern w:val="0"/>
          <w:sz w:val="32"/>
          <w:szCs w:val="32"/>
          <w14:textFill>
            <w14:solidFill>
              <w14:schemeClr w14:val="tx1"/>
            </w14:solidFill>
          </w14:textFill>
        </w:rPr>
        <w:t>二、奖励标准及比例</w:t>
      </w:r>
    </w:p>
    <w:tbl>
      <w:tblPr>
        <w:tblStyle w:val="4"/>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
      <w:tblGrid>
        <w:gridCol w:w="2316"/>
        <w:gridCol w:w="1605"/>
        <w:gridCol w:w="2190"/>
        <w:gridCol w:w="219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108" w:type="dxa"/>
            <w:bottom w:w="57" w:type="dxa"/>
            <w:right w:w="108" w:type="dxa"/>
          </w:tblCellMar>
        </w:tblPrEx>
        <w:trPr>
          <w:cantSplit/>
          <w:trHeight w:val="397" w:hRule="atLeast"/>
          <w:jc w:val="center"/>
        </w:trPr>
        <w:tc>
          <w:tcPr>
            <w:tcW w:w="2316" w:type="dxa"/>
            <w:tcBorders>
              <w:left w:val="single" w:color="auto" w:sz="4" w:space="0"/>
            </w:tcBorders>
            <w:vAlign w:val="center"/>
          </w:tcPr>
          <w:p>
            <w:pPr>
              <w:pStyle w:val="7"/>
              <w:keepNext w:val="0"/>
              <w:keepLines w:val="0"/>
              <w:pageBreakBefore w:val="0"/>
              <w:kinsoku/>
              <w:wordWrap/>
              <w:overflowPunct/>
              <w:topLinePunct w:val="0"/>
              <w:autoSpaceDE/>
              <w:bidi w:val="0"/>
              <w:adjustRightInd/>
              <w:snapToGrid/>
              <w:spacing w:before="0" w:after="0" w:line="560" w:lineRule="exact"/>
              <w:ind w:firstLine="200"/>
              <w:rPr>
                <w:rFonts w:ascii="Times New Roman" w:hAnsi="Times New Roman" w:eastAsia="仿宋_GB2312" w:cs="Times New Roman"/>
                <w:b/>
                <w:color w:val="000000" w:themeColor="text1"/>
                <w:sz w:val="30"/>
                <w:szCs w:val="30"/>
                <w:lang w:val="zh-CN"/>
                <w14:textFill>
                  <w14:solidFill>
                    <w14:schemeClr w14:val="tx1"/>
                  </w14:solidFill>
                </w14:textFill>
              </w:rPr>
            </w:pPr>
            <w:r>
              <w:rPr>
                <w:rFonts w:hint="eastAsia" w:ascii="Times New Roman" w:hAnsi="Times New Roman" w:eastAsia="仿宋_GB2312" w:cs="Times New Roman"/>
                <w:b/>
                <w:color w:val="000000" w:themeColor="text1"/>
                <w:sz w:val="30"/>
                <w:szCs w:val="30"/>
                <w:lang w:val="zh-CN"/>
                <w14:textFill>
                  <w14:solidFill>
                    <w14:schemeClr w14:val="tx1"/>
                  </w14:solidFill>
                </w14:textFill>
              </w:rPr>
              <w:t>类别</w:t>
            </w:r>
          </w:p>
        </w:tc>
        <w:tc>
          <w:tcPr>
            <w:tcW w:w="3795" w:type="dxa"/>
            <w:gridSpan w:val="2"/>
            <w:vAlign w:val="center"/>
          </w:tcPr>
          <w:p>
            <w:pPr>
              <w:pStyle w:val="7"/>
              <w:keepNext w:val="0"/>
              <w:keepLines w:val="0"/>
              <w:pageBreakBefore w:val="0"/>
              <w:kinsoku/>
              <w:wordWrap/>
              <w:overflowPunct/>
              <w:topLinePunct w:val="0"/>
              <w:autoSpaceDE/>
              <w:bidi w:val="0"/>
              <w:adjustRightInd/>
              <w:snapToGrid/>
              <w:spacing w:before="0" w:after="0" w:line="560" w:lineRule="exact"/>
              <w:ind w:firstLine="200"/>
              <w:rPr>
                <w:rFonts w:ascii="Times New Roman" w:hAnsi="Times New Roman" w:eastAsia="仿宋_GB2312" w:cs="Times New Roman"/>
                <w:b/>
                <w:color w:val="000000" w:themeColor="text1"/>
                <w:sz w:val="30"/>
                <w:szCs w:val="30"/>
                <w:lang w:val="zh-CN"/>
                <w14:textFill>
                  <w14:solidFill>
                    <w14:schemeClr w14:val="tx1"/>
                  </w14:solidFill>
                </w14:textFill>
              </w:rPr>
            </w:pPr>
            <w:r>
              <w:rPr>
                <w:rFonts w:hint="eastAsia" w:ascii="Times New Roman" w:hAnsi="Times New Roman" w:eastAsia="仿宋_GB2312" w:cs="Times New Roman"/>
                <w:b/>
                <w:color w:val="000000" w:themeColor="text1"/>
                <w:sz w:val="30"/>
                <w:szCs w:val="30"/>
                <w:lang w:val="zh-CN"/>
                <w14:textFill>
                  <w14:solidFill>
                    <w14:schemeClr w14:val="tx1"/>
                  </w14:solidFill>
                </w14:textFill>
              </w:rPr>
              <w:t>奖励标准（年/人）</w:t>
            </w:r>
          </w:p>
        </w:tc>
        <w:tc>
          <w:tcPr>
            <w:tcW w:w="2190" w:type="dxa"/>
            <w:tcBorders>
              <w:right w:val="single" w:color="auto" w:sz="4" w:space="0"/>
            </w:tcBorders>
            <w:vAlign w:val="center"/>
          </w:tcPr>
          <w:p>
            <w:pPr>
              <w:pStyle w:val="7"/>
              <w:keepNext w:val="0"/>
              <w:keepLines w:val="0"/>
              <w:pageBreakBefore w:val="0"/>
              <w:kinsoku/>
              <w:wordWrap/>
              <w:overflowPunct/>
              <w:topLinePunct w:val="0"/>
              <w:autoSpaceDE/>
              <w:bidi w:val="0"/>
              <w:adjustRightInd/>
              <w:snapToGrid/>
              <w:spacing w:before="0" w:after="0" w:line="560" w:lineRule="exact"/>
              <w:ind w:firstLine="200"/>
              <w:rPr>
                <w:rFonts w:ascii="Times New Roman" w:hAnsi="Times New Roman" w:eastAsia="仿宋_GB2312" w:cs="Times New Roman"/>
                <w:b/>
                <w:color w:val="000000" w:themeColor="text1"/>
                <w:sz w:val="30"/>
                <w:szCs w:val="30"/>
                <w:lang w:val="zh-CN"/>
                <w14:textFill>
                  <w14:solidFill>
                    <w14:schemeClr w14:val="tx1"/>
                  </w14:solidFill>
                </w14:textFill>
              </w:rPr>
            </w:pPr>
            <w:r>
              <w:rPr>
                <w:rFonts w:hint="eastAsia" w:ascii="Times New Roman" w:hAnsi="Times New Roman" w:eastAsia="仿宋_GB2312" w:cs="Times New Roman"/>
                <w:b/>
                <w:color w:val="000000" w:themeColor="text1"/>
                <w:sz w:val="30"/>
                <w:szCs w:val="30"/>
                <w:lang w:val="zh-CN"/>
                <w14:textFill>
                  <w14:solidFill>
                    <w14:schemeClr w14:val="tx1"/>
                  </w14:solidFill>
                </w14:textFill>
              </w:rPr>
              <w:t>占生比例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108" w:type="dxa"/>
            <w:bottom w:w="57" w:type="dxa"/>
            <w:right w:w="108" w:type="dxa"/>
          </w:tblCellMar>
        </w:tblPrEx>
        <w:trPr>
          <w:cantSplit/>
          <w:trHeight w:val="414" w:hRule="atLeast"/>
          <w:jc w:val="center"/>
        </w:trPr>
        <w:tc>
          <w:tcPr>
            <w:tcW w:w="2316" w:type="dxa"/>
            <w:tcBorders>
              <w:left w:val="single" w:color="auto" w:sz="4" w:space="0"/>
            </w:tcBorders>
            <w:vAlign w:val="center"/>
          </w:tcPr>
          <w:p>
            <w:pPr>
              <w:pStyle w:val="7"/>
              <w:keepNext w:val="0"/>
              <w:keepLines w:val="0"/>
              <w:pageBreakBefore w:val="0"/>
              <w:kinsoku/>
              <w:wordWrap/>
              <w:overflowPunct/>
              <w:topLinePunct w:val="0"/>
              <w:autoSpaceDE/>
              <w:bidi w:val="0"/>
              <w:adjustRightInd/>
              <w:snapToGrid/>
              <w:spacing w:before="0" w:after="0" w:line="560" w:lineRule="exact"/>
              <w:ind w:firstLine="198"/>
              <w:rPr>
                <w:rFonts w:ascii="Times New Roman" w:hAnsi="Times New Roman" w:eastAsia="仿宋_GB2312" w:cs="Times New Roman"/>
                <w:color w:val="000000" w:themeColor="text1"/>
                <w:sz w:val="30"/>
                <w:szCs w:val="30"/>
                <w:lang w:val="zh-CN"/>
                <w14:textFill>
                  <w14:solidFill>
                    <w14:schemeClr w14:val="tx1"/>
                  </w14:solidFill>
                </w14:textFill>
              </w:rPr>
            </w:pPr>
            <w:r>
              <w:rPr>
                <w:rFonts w:hint="eastAsia" w:ascii="Times New Roman" w:hAnsi="Times New Roman" w:eastAsia="仿宋_GB2312" w:cs="Times New Roman"/>
                <w:color w:val="000000" w:themeColor="text1"/>
                <w:sz w:val="30"/>
                <w:szCs w:val="30"/>
                <w:lang w:val="zh-CN"/>
                <w14:textFill>
                  <w14:solidFill>
                    <w14:schemeClr w14:val="tx1"/>
                  </w14:solidFill>
                </w14:textFill>
              </w:rPr>
              <w:t>博士研究生</w:t>
            </w:r>
          </w:p>
        </w:tc>
        <w:tc>
          <w:tcPr>
            <w:tcW w:w="3795" w:type="dxa"/>
            <w:gridSpan w:val="2"/>
            <w:vAlign w:val="center"/>
          </w:tcPr>
          <w:p>
            <w:pPr>
              <w:pStyle w:val="7"/>
              <w:keepNext w:val="0"/>
              <w:keepLines w:val="0"/>
              <w:pageBreakBefore w:val="0"/>
              <w:kinsoku/>
              <w:wordWrap/>
              <w:overflowPunct/>
              <w:topLinePunct w:val="0"/>
              <w:autoSpaceDE/>
              <w:bidi w:val="0"/>
              <w:adjustRightInd/>
              <w:snapToGrid/>
              <w:spacing w:before="0" w:after="0" w:line="560" w:lineRule="exact"/>
              <w:ind w:firstLine="198"/>
              <w:rPr>
                <w:rFonts w:ascii="Times New Roman" w:hAnsi="Times New Roman" w:eastAsia="仿宋_GB2312" w:cs="Times New Roman"/>
                <w:color w:val="000000" w:themeColor="text1"/>
                <w:sz w:val="30"/>
                <w:szCs w:val="30"/>
                <w:lang w:val="zh-CN"/>
                <w14:textFill>
                  <w14:solidFill>
                    <w14:schemeClr w14:val="tx1"/>
                  </w14:solidFill>
                </w14:textFill>
              </w:rPr>
            </w:pPr>
            <w:r>
              <w:rPr>
                <w:rFonts w:hint="eastAsia" w:ascii="Times New Roman" w:hAnsi="Times New Roman" w:eastAsia="仿宋_GB2312" w:cs="Times New Roman"/>
                <w:color w:val="000000" w:themeColor="text1"/>
                <w:sz w:val="30"/>
                <w:szCs w:val="30"/>
                <w:lang w:val="zh-CN"/>
                <w14:textFill>
                  <w14:solidFill>
                    <w14:schemeClr w14:val="tx1"/>
                  </w14:solidFill>
                </w14:textFill>
              </w:rPr>
              <w:t>10000元</w:t>
            </w:r>
          </w:p>
        </w:tc>
        <w:tc>
          <w:tcPr>
            <w:tcW w:w="2190" w:type="dxa"/>
            <w:tcBorders>
              <w:right w:val="single" w:color="auto" w:sz="4" w:space="0"/>
            </w:tcBorders>
            <w:vAlign w:val="center"/>
          </w:tcPr>
          <w:p>
            <w:pPr>
              <w:pStyle w:val="7"/>
              <w:keepNext w:val="0"/>
              <w:keepLines w:val="0"/>
              <w:pageBreakBefore w:val="0"/>
              <w:kinsoku/>
              <w:wordWrap/>
              <w:overflowPunct/>
              <w:topLinePunct w:val="0"/>
              <w:autoSpaceDE/>
              <w:bidi w:val="0"/>
              <w:adjustRightInd/>
              <w:snapToGrid/>
              <w:spacing w:before="0" w:after="0" w:line="560" w:lineRule="exact"/>
              <w:ind w:firstLine="198"/>
              <w:rPr>
                <w:rFonts w:ascii="Times New Roman" w:hAnsi="Times New Roman" w:eastAsia="仿宋_GB2312" w:cs="Times New Roman"/>
                <w:color w:val="000000" w:themeColor="text1"/>
                <w:sz w:val="30"/>
                <w:szCs w:val="30"/>
                <w:lang w:val="zh-CN"/>
                <w14:textFill>
                  <w14:solidFill>
                    <w14:schemeClr w14:val="tx1"/>
                  </w14:solidFill>
                </w14:textFill>
              </w:rPr>
            </w:pPr>
            <w:r>
              <w:rPr>
                <w:rFonts w:hint="eastAsia" w:ascii="Times New Roman" w:hAnsi="Times New Roman" w:eastAsia="仿宋_GB2312" w:cs="Times New Roman"/>
                <w:color w:val="000000" w:themeColor="text1"/>
                <w:sz w:val="30"/>
                <w:szCs w:val="30"/>
                <w:lang w:val="zh-CN"/>
                <w14:textFill>
                  <w14:solidFill>
                    <w14:schemeClr w14:val="tx1"/>
                  </w14:solidFill>
                </w14:textFill>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108" w:type="dxa"/>
            <w:bottom w:w="57" w:type="dxa"/>
            <w:right w:w="108" w:type="dxa"/>
          </w:tblCellMar>
        </w:tblPrEx>
        <w:trPr>
          <w:cantSplit/>
          <w:trHeight w:val="397" w:hRule="atLeast"/>
          <w:jc w:val="center"/>
        </w:trPr>
        <w:tc>
          <w:tcPr>
            <w:tcW w:w="2316" w:type="dxa"/>
            <w:vMerge w:val="restart"/>
            <w:tcBorders>
              <w:left w:val="single" w:color="auto" w:sz="4" w:space="0"/>
            </w:tcBorders>
            <w:vAlign w:val="center"/>
          </w:tcPr>
          <w:p>
            <w:pPr>
              <w:pStyle w:val="7"/>
              <w:keepNext w:val="0"/>
              <w:keepLines w:val="0"/>
              <w:pageBreakBefore w:val="0"/>
              <w:kinsoku/>
              <w:wordWrap/>
              <w:overflowPunct/>
              <w:topLinePunct w:val="0"/>
              <w:autoSpaceDE/>
              <w:bidi w:val="0"/>
              <w:adjustRightInd/>
              <w:snapToGrid/>
              <w:spacing w:before="0" w:after="0" w:line="560" w:lineRule="exact"/>
              <w:ind w:firstLine="198"/>
              <w:rPr>
                <w:rFonts w:ascii="Times New Roman" w:hAnsi="Times New Roman" w:eastAsia="仿宋_GB2312" w:cs="Times New Roman"/>
                <w:color w:val="000000" w:themeColor="text1"/>
                <w:sz w:val="30"/>
                <w:szCs w:val="30"/>
                <w:lang w:val="zh-CN"/>
                <w14:textFill>
                  <w14:solidFill>
                    <w14:schemeClr w14:val="tx1"/>
                  </w14:solidFill>
                </w14:textFill>
              </w:rPr>
            </w:pPr>
            <w:r>
              <w:rPr>
                <w:rFonts w:hint="eastAsia" w:ascii="Times New Roman" w:hAnsi="Times New Roman" w:eastAsia="仿宋_GB2312" w:cs="Times New Roman"/>
                <w:color w:val="000000" w:themeColor="text1"/>
                <w:sz w:val="30"/>
                <w:szCs w:val="30"/>
                <w:lang w:val="zh-CN"/>
                <w14:textFill>
                  <w14:solidFill>
                    <w14:schemeClr w14:val="tx1"/>
                  </w14:solidFill>
                </w14:textFill>
              </w:rPr>
              <w:t>硕士研究生</w:t>
            </w:r>
          </w:p>
        </w:tc>
        <w:tc>
          <w:tcPr>
            <w:tcW w:w="1605" w:type="dxa"/>
            <w:vAlign w:val="center"/>
          </w:tcPr>
          <w:p>
            <w:pPr>
              <w:pStyle w:val="7"/>
              <w:keepNext w:val="0"/>
              <w:keepLines w:val="0"/>
              <w:pageBreakBefore w:val="0"/>
              <w:kinsoku/>
              <w:wordWrap/>
              <w:overflowPunct/>
              <w:topLinePunct w:val="0"/>
              <w:autoSpaceDE/>
              <w:bidi w:val="0"/>
              <w:adjustRightInd/>
              <w:snapToGrid/>
              <w:spacing w:before="0" w:after="0" w:line="560" w:lineRule="exact"/>
              <w:ind w:firstLine="198"/>
              <w:rPr>
                <w:rFonts w:ascii="Times New Roman" w:hAnsi="Times New Roman" w:eastAsia="仿宋_GB2312" w:cs="Times New Roman"/>
                <w:color w:val="000000" w:themeColor="text1"/>
                <w:sz w:val="30"/>
                <w:szCs w:val="30"/>
                <w:lang w:val="zh-CN"/>
                <w14:textFill>
                  <w14:solidFill>
                    <w14:schemeClr w14:val="tx1"/>
                  </w14:solidFill>
                </w14:textFill>
              </w:rPr>
            </w:pPr>
            <w:r>
              <w:rPr>
                <w:rFonts w:hint="eastAsia" w:ascii="Times New Roman" w:hAnsi="Times New Roman" w:eastAsia="仿宋_GB2312" w:cs="Times New Roman"/>
                <w:color w:val="000000" w:themeColor="text1"/>
                <w:sz w:val="30"/>
                <w:szCs w:val="30"/>
                <w:lang w:val="zh-CN"/>
                <w14:textFill>
                  <w14:solidFill>
                    <w14:schemeClr w14:val="tx1"/>
                  </w14:solidFill>
                </w14:textFill>
              </w:rPr>
              <w:t>特等奖</w:t>
            </w:r>
          </w:p>
        </w:tc>
        <w:tc>
          <w:tcPr>
            <w:tcW w:w="2190" w:type="dxa"/>
            <w:vAlign w:val="center"/>
          </w:tcPr>
          <w:p>
            <w:pPr>
              <w:pStyle w:val="7"/>
              <w:keepNext w:val="0"/>
              <w:keepLines w:val="0"/>
              <w:pageBreakBefore w:val="0"/>
              <w:kinsoku/>
              <w:wordWrap/>
              <w:overflowPunct/>
              <w:topLinePunct w:val="0"/>
              <w:autoSpaceDE/>
              <w:bidi w:val="0"/>
              <w:adjustRightInd/>
              <w:snapToGrid/>
              <w:spacing w:before="0" w:after="0" w:line="560" w:lineRule="exact"/>
              <w:ind w:firstLine="198"/>
              <w:rPr>
                <w:rFonts w:ascii="Times New Roman" w:hAnsi="Times New Roman" w:eastAsia="仿宋_GB2312" w:cs="Times New Roman"/>
                <w:color w:val="000000" w:themeColor="text1"/>
                <w:sz w:val="30"/>
                <w:szCs w:val="30"/>
                <w:lang w:val="zh-CN"/>
                <w14:textFill>
                  <w14:solidFill>
                    <w14:schemeClr w14:val="tx1"/>
                  </w14:solidFill>
                </w14:textFill>
              </w:rPr>
            </w:pPr>
            <w:r>
              <w:rPr>
                <w:rFonts w:hint="eastAsia" w:ascii="Times New Roman" w:hAnsi="Times New Roman" w:eastAsia="仿宋_GB2312" w:cs="Times New Roman"/>
                <w:color w:val="000000" w:themeColor="text1"/>
                <w:sz w:val="30"/>
                <w:szCs w:val="30"/>
                <w:lang w:val="zh-CN"/>
                <w14:textFill>
                  <w14:solidFill>
                    <w14:schemeClr w14:val="tx1"/>
                  </w14:solidFill>
                </w14:textFill>
              </w:rPr>
              <w:t>10000元</w:t>
            </w:r>
          </w:p>
        </w:tc>
        <w:tc>
          <w:tcPr>
            <w:tcW w:w="2190" w:type="dxa"/>
            <w:tcBorders>
              <w:right w:val="single" w:color="auto" w:sz="4" w:space="0"/>
            </w:tcBorders>
            <w:vAlign w:val="center"/>
          </w:tcPr>
          <w:p>
            <w:pPr>
              <w:pStyle w:val="7"/>
              <w:keepNext w:val="0"/>
              <w:keepLines w:val="0"/>
              <w:pageBreakBefore w:val="0"/>
              <w:kinsoku/>
              <w:wordWrap/>
              <w:overflowPunct/>
              <w:topLinePunct w:val="0"/>
              <w:autoSpaceDE/>
              <w:bidi w:val="0"/>
              <w:adjustRightInd/>
              <w:snapToGrid/>
              <w:spacing w:before="0" w:after="0" w:line="560" w:lineRule="exact"/>
              <w:ind w:firstLine="198"/>
              <w:rPr>
                <w:rFonts w:ascii="Times New Roman" w:hAnsi="Times New Roman" w:eastAsia="仿宋_GB2312" w:cs="Times New Roman"/>
                <w:color w:val="000000" w:themeColor="text1"/>
                <w:sz w:val="30"/>
                <w:szCs w:val="30"/>
                <w:lang w:val="zh-CN"/>
                <w14:textFill>
                  <w14:solidFill>
                    <w14:schemeClr w14:val="tx1"/>
                  </w14:solidFill>
                </w14:textFill>
              </w:rPr>
            </w:pPr>
            <w:r>
              <w:rPr>
                <w:rFonts w:hint="eastAsia" w:ascii="Times New Roman" w:hAnsi="Times New Roman" w:eastAsia="仿宋_GB2312" w:cs="Times New Roman"/>
                <w:color w:val="000000" w:themeColor="text1"/>
                <w:sz w:val="30"/>
                <w:szCs w:val="30"/>
                <w:lang w:val="zh-CN"/>
                <w14:textFill>
                  <w14:solidFill>
                    <w14:schemeClr w14:val="tx1"/>
                  </w14:solidFill>
                </w14:textFill>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108" w:type="dxa"/>
            <w:bottom w:w="57" w:type="dxa"/>
            <w:right w:w="108" w:type="dxa"/>
          </w:tblCellMar>
        </w:tblPrEx>
        <w:trPr>
          <w:cantSplit/>
          <w:trHeight w:val="397" w:hRule="atLeast"/>
          <w:jc w:val="center"/>
        </w:trPr>
        <w:tc>
          <w:tcPr>
            <w:tcW w:w="2316" w:type="dxa"/>
            <w:vMerge w:val="continue"/>
            <w:tcBorders>
              <w:left w:val="single" w:color="auto" w:sz="4" w:space="0"/>
            </w:tcBorders>
            <w:vAlign w:val="center"/>
          </w:tcPr>
          <w:p>
            <w:pPr>
              <w:pStyle w:val="7"/>
              <w:keepNext w:val="0"/>
              <w:keepLines w:val="0"/>
              <w:pageBreakBefore w:val="0"/>
              <w:kinsoku/>
              <w:wordWrap/>
              <w:overflowPunct/>
              <w:topLinePunct w:val="0"/>
              <w:autoSpaceDE/>
              <w:bidi w:val="0"/>
              <w:adjustRightInd/>
              <w:snapToGrid/>
              <w:spacing w:before="0" w:after="0" w:line="560" w:lineRule="exact"/>
              <w:ind w:firstLine="198"/>
              <w:rPr>
                <w:rFonts w:ascii="Times New Roman" w:hAnsi="Times New Roman" w:eastAsia="仿宋_GB2312" w:cs="Times New Roman"/>
                <w:color w:val="000000" w:themeColor="text1"/>
                <w:sz w:val="30"/>
                <w:szCs w:val="30"/>
                <w:lang w:val="zh-CN"/>
                <w14:textFill>
                  <w14:solidFill>
                    <w14:schemeClr w14:val="tx1"/>
                  </w14:solidFill>
                </w14:textFill>
              </w:rPr>
            </w:pPr>
          </w:p>
        </w:tc>
        <w:tc>
          <w:tcPr>
            <w:tcW w:w="1605" w:type="dxa"/>
            <w:vAlign w:val="center"/>
          </w:tcPr>
          <w:p>
            <w:pPr>
              <w:pStyle w:val="7"/>
              <w:keepNext w:val="0"/>
              <w:keepLines w:val="0"/>
              <w:pageBreakBefore w:val="0"/>
              <w:kinsoku/>
              <w:wordWrap/>
              <w:overflowPunct/>
              <w:topLinePunct w:val="0"/>
              <w:autoSpaceDE/>
              <w:bidi w:val="0"/>
              <w:adjustRightInd/>
              <w:snapToGrid/>
              <w:spacing w:before="0" w:after="0" w:line="560" w:lineRule="exact"/>
              <w:ind w:firstLine="198"/>
              <w:rPr>
                <w:rFonts w:ascii="Times New Roman" w:hAnsi="Times New Roman" w:eastAsia="仿宋_GB2312" w:cs="Times New Roman"/>
                <w:color w:val="000000" w:themeColor="text1"/>
                <w:sz w:val="30"/>
                <w:szCs w:val="30"/>
                <w:lang w:val="zh-CN"/>
                <w14:textFill>
                  <w14:solidFill>
                    <w14:schemeClr w14:val="tx1"/>
                  </w14:solidFill>
                </w14:textFill>
              </w:rPr>
            </w:pPr>
            <w:r>
              <w:rPr>
                <w:rFonts w:hint="eastAsia" w:ascii="Times New Roman" w:hAnsi="Times New Roman" w:eastAsia="仿宋_GB2312" w:cs="Times New Roman"/>
                <w:color w:val="000000" w:themeColor="text1"/>
                <w:sz w:val="30"/>
                <w:szCs w:val="30"/>
                <w:lang w:val="zh-CN"/>
                <w14:textFill>
                  <w14:solidFill>
                    <w14:schemeClr w14:val="tx1"/>
                  </w14:solidFill>
                </w14:textFill>
              </w:rPr>
              <w:t>一等奖</w:t>
            </w:r>
          </w:p>
        </w:tc>
        <w:tc>
          <w:tcPr>
            <w:tcW w:w="2190" w:type="dxa"/>
            <w:vAlign w:val="center"/>
          </w:tcPr>
          <w:p>
            <w:pPr>
              <w:pStyle w:val="7"/>
              <w:keepNext w:val="0"/>
              <w:keepLines w:val="0"/>
              <w:pageBreakBefore w:val="0"/>
              <w:kinsoku/>
              <w:wordWrap/>
              <w:overflowPunct/>
              <w:topLinePunct w:val="0"/>
              <w:autoSpaceDE/>
              <w:bidi w:val="0"/>
              <w:adjustRightInd/>
              <w:snapToGrid/>
              <w:spacing w:before="0" w:after="0" w:line="560" w:lineRule="exact"/>
              <w:ind w:firstLine="198"/>
              <w:rPr>
                <w:rFonts w:ascii="Times New Roman" w:hAnsi="Times New Roman" w:eastAsia="仿宋_GB2312" w:cs="Times New Roman"/>
                <w:color w:val="000000" w:themeColor="text1"/>
                <w:sz w:val="30"/>
                <w:szCs w:val="30"/>
                <w:lang w:val="zh-CN"/>
                <w14:textFill>
                  <w14:solidFill>
                    <w14:schemeClr w14:val="tx1"/>
                  </w14:solidFill>
                </w14:textFill>
              </w:rPr>
            </w:pPr>
            <w:r>
              <w:rPr>
                <w:rFonts w:hint="eastAsia" w:ascii="Times New Roman" w:hAnsi="Times New Roman" w:eastAsia="仿宋_GB2312" w:cs="Times New Roman"/>
                <w:color w:val="000000" w:themeColor="text1"/>
                <w:sz w:val="30"/>
                <w:szCs w:val="30"/>
                <w:lang w:val="zh-CN"/>
                <w14:textFill>
                  <w14:solidFill>
                    <w14:schemeClr w14:val="tx1"/>
                  </w14:solidFill>
                </w14:textFill>
              </w:rPr>
              <w:t>8000元</w:t>
            </w:r>
          </w:p>
        </w:tc>
        <w:tc>
          <w:tcPr>
            <w:tcW w:w="2190" w:type="dxa"/>
            <w:tcBorders>
              <w:right w:val="single" w:color="auto" w:sz="4" w:space="0"/>
            </w:tcBorders>
            <w:vAlign w:val="center"/>
          </w:tcPr>
          <w:p>
            <w:pPr>
              <w:pStyle w:val="7"/>
              <w:keepNext w:val="0"/>
              <w:keepLines w:val="0"/>
              <w:pageBreakBefore w:val="0"/>
              <w:kinsoku/>
              <w:wordWrap/>
              <w:overflowPunct/>
              <w:topLinePunct w:val="0"/>
              <w:autoSpaceDE/>
              <w:bidi w:val="0"/>
              <w:adjustRightInd/>
              <w:snapToGrid/>
              <w:spacing w:before="0" w:after="0" w:line="560" w:lineRule="exact"/>
              <w:ind w:firstLine="198"/>
              <w:rPr>
                <w:rFonts w:ascii="Times New Roman" w:hAnsi="Times New Roman" w:eastAsia="仿宋_GB2312" w:cs="Times New Roman"/>
                <w:color w:val="000000" w:themeColor="text1"/>
                <w:sz w:val="30"/>
                <w:szCs w:val="30"/>
                <w:lang w:val="zh-CN"/>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5</w:t>
            </w:r>
            <w:r>
              <w:rPr>
                <w:rFonts w:hint="eastAsia" w:ascii="Times New Roman" w:hAnsi="Times New Roman" w:eastAsia="仿宋_GB2312" w:cs="Times New Roman"/>
                <w:color w:val="000000" w:themeColor="text1"/>
                <w:sz w:val="30"/>
                <w:szCs w:val="30"/>
                <w:lang w:val="zh-CN"/>
                <w14:textFill>
                  <w14:solidFill>
                    <w14:schemeClr w14:val="tx1"/>
                  </w14:solidFill>
                </w14:textFill>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108" w:type="dxa"/>
            <w:bottom w:w="57" w:type="dxa"/>
            <w:right w:w="108" w:type="dxa"/>
          </w:tblCellMar>
        </w:tblPrEx>
        <w:trPr>
          <w:cantSplit/>
          <w:trHeight w:val="397" w:hRule="atLeast"/>
          <w:jc w:val="center"/>
        </w:trPr>
        <w:tc>
          <w:tcPr>
            <w:tcW w:w="2316" w:type="dxa"/>
            <w:vMerge w:val="continue"/>
            <w:tcBorders>
              <w:left w:val="single" w:color="auto" w:sz="4" w:space="0"/>
            </w:tcBorders>
            <w:vAlign w:val="center"/>
          </w:tcPr>
          <w:p>
            <w:pPr>
              <w:pStyle w:val="7"/>
              <w:keepNext w:val="0"/>
              <w:keepLines w:val="0"/>
              <w:pageBreakBefore w:val="0"/>
              <w:kinsoku/>
              <w:wordWrap/>
              <w:overflowPunct/>
              <w:topLinePunct w:val="0"/>
              <w:autoSpaceDE/>
              <w:bidi w:val="0"/>
              <w:adjustRightInd/>
              <w:snapToGrid/>
              <w:spacing w:before="0" w:after="0" w:line="560" w:lineRule="exact"/>
              <w:ind w:firstLine="198"/>
              <w:rPr>
                <w:rFonts w:ascii="Times New Roman" w:hAnsi="Times New Roman" w:eastAsia="仿宋_GB2312" w:cs="Times New Roman"/>
                <w:color w:val="000000" w:themeColor="text1"/>
                <w:sz w:val="30"/>
                <w:szCs w:val="30"/>
                <w:lang w:val="zh-CN"/>
                <w14:textFill>
                  <w14:solidFill>
                    <w14:schemeClr w14:val="tx1"/>
                  </w14:solidFill>
                </w14:textFill>
              </w:rPr>
            </w:pPr>
          </w:p>
        </w:tc>
        <w:tc>
          <w:tcPr>
            <w:tcW w:w="1605" w:type="dxa"/>
            <w:vAlign w:val="center"/>
          </w:tcPr>
          <w:p>
            <w:pPr>
              <w:pStyle w:val="7"/>
              <w:keepNext w:val="0"/>
              <w:keepLines w:val="0"/>
              <w:pageBreakBefore w:val="0"/>
              <w:kinsoku/>
              <w:wordWrap/>
              <w:overflowPunct/>
              <w:topLinePunct w:val="0"/>
              <w:autoSpaceDE/>
              <w:bidi w:val="0"/>
              <w:adjustRightInd/>
              <w:snapToGrid/>
              <w:spacing w:before="0" w:after="0" w:line="560" w:lineRule="exact"/>
              <w:ind w:firstLine="198"/>
              <w:rPr>
                <w:rFonts w:ascii="Times New Roman" w:hAnsi="Times New Roman" w:eastAsia="仿宋_GB2312" w:cs="Times New Roman"/>
                <w:color w:val="000000" w:themeColor="text1"/>
                <w:sz w:val="30"/>
                <w:szCs w:val="30"/>
                <w:lang w:val="zh-CN"/>
                <w14:textFill>
                  <w14:solidFill>
                    <w14:schemeClr w14:val="tx1"/>
                  </w14:solidFill>
                </w14:textFill>
              </w:rPr>
            </w:pPr>
            <w:r>
              <w:rPr>
                <w:rFonts w:hint="eastAsia" w:ascii="Times New Roman" w:hAnsi="Times New Roman" w:eastAsia="仿宋_GB2312" w:cs="Times New Roman"/>
                <w:color w:val="000000" w:themeColor="text1"/>
                <w:sz w:val="30"/>
                <w:szCs w:val="30"/>
                <w:lang w:val="zh-CN"/>
                <w14:textFill>
                  <w14:solidFill>
                    <w14:schemeClr w14:val="tx1"/>
                  </w14:solidFill>
                </w14:textFill>
              </w:rPr>
              <w:t>二等奖</w:t>
            </w:r>
          </w:p>
        </w:tc>
        <w:tc>
          <w:tcPr>
            <w:tcW w:w="2190" w:type="dxa"/>
            <w:vAlign w:val="center"/>
          </w:tcPr>
          <w:p>
            <w:pPr>
              <w:pStyle w:val="7"/>
              <w:keepNext w:val="0"/>
              <w:keepLines w:val="0"/>
              <w:pageBreakBefore w:val="0"/>
              <w:kinsoku/>
              <w:wordWrap/>
              <w:overflowPunct/>
              <w:topLinePunct w:val="0"/>
              <w:autoSpaceDE/>
              <w:bidi w:val="0"/>
              <w:adjustRightInd/>
              <w:snapToGrid/>
              <w:spacing w:before="0" w:after="0" w:line="560" w:lineRule="exact"/>
              <w:ind w:firstLine="198"/>
              <w:rPr>
                <w:rFonts w:ascii="Times New Roman" w:hAnsi="Times New Roman" w:eastAsia="仿宋_GB2312" w:cs="Times New Roman"/>
                <w:color w:val="000000" w:themeColor="text1"/>
                <w:sz w:val="30"/>
                <w:szCs w:val="30"/>
                <w:lang w:val="zh-CN"/>
                <w14:textFill>
                  <w14:solidFill>
                    <w14:schemeClr w14:val="tx1"/>
                  </w14:solidFill>
                </w14:textFill>
              </w:rPr>
            </w:pPr>
            <w:r>
              <w:rPr>
                <w:rFonts w:hint="eastAsia" w:ascii="Times New Roman" w:hAnsi="Times New Roman" w:eastAsia="仿宋_GB2312" w:cs="Times New Roman"/>
                <w:color w:val="000000" w:themeColor="text1"/>
                <w:sz w:val="30"/>
                <w:szCs w:val="30"/>
                <w:lang w:val="zh-CN"/>
                <w14:textFill>
                  <w14:solidFill>
                    <w14:schemeClr w14:val="tx1"/>
                  </w14:solidFill>
                </w14:textFill>
              </w:rPr>
              <w:t>4000元</w:t>
            </w:r>
          </w:p>
        </w:tc>
        <w:tc>
          <w:tcPr>
            <w:tcW w:w="2190" w:type="dxa"/>
            <w:tcBorders>
              <w:right w:val="single" w:color="auto" w:sz="4" w:space="0"/>
            </w:tcBorders>
            <w:vAlign w:val="center"/>
          </w:tcPr>
          <w:p>
            <w:pPr>
              <w:pStyle w:val="7"/>
              <w:keepNext w:val="0"/>
              <w:keepLines w:val="0"/>
              <w:pageBreakBefore w:val="0"/>
              <w:kinsoku/>
              <w:wordWrap/>
              <w:overflowPunct/>
              <w:topLinePunct w:val="0"/>
              <w:autoSpaceDE/>
              <w:bidi w:val="0"/>
              <w:adjustRightInd/>
              <w:snapToGrid/>
              <w:spacing w:before="0" w:after="0" w:line="560" w:lineRule="exact"/>
              <w:ind w:firstLine="198"/>
              <w:rPr>
                <w:rFonts w:ascii="Times New Roman" w:hAnsi="Times New Roman" w:eastAsia="仿宋_GB2312" w:cs="Times New Roman"/>
                <w:color w:val="000000" w:themeColor="text1"/>
                <w:sz w:val="30"/>
                <w:szCs w:val="30"/>
                <w:lang w:val="zh-CN"/>
                <w14:textFill>
                  <w14:solidFill>
                    <w14:schemeClr w14:val="tx1"/>
                  </w14:solidFill>
                </w14:textFill>
              </w:rPr>
            </w:pPr>
            <w:r>
              <w:rPr>
                <w:rFonts w:hint="eastAsia" w:ascii="Times New Roman" w:hAnsi="Times New Roman" w:eastAsia="仿宋_GB2312" w:cs="Times New Roman"/>
                <w:color w:val="000000" w:themeColor="text1"/>
                <w:sz w:val="30"/>
                <w:szCs w:val="30"/>
                <w:lang w:val="zh-CN"/>
                <w14:textFill>
                  <w14:solidFill>
                    <w14:schemeClr w14:val="tx1"/>
                  </w14:solidFill>
                </w14:textFill>
              </w:rPr>
              <w:t>40%</w:t>
            </w:r>
          </w:p>
        </w:tc>
      </w:tr>
    </w:tbl>
    <w:p>
      <w:pPr>
        <w:keepNext w:val="0"/>
        <w:keepLines w:val="0"/>
        <w:pageBreakBefore w:val="0"/>
        <w:kinsoku/>
        <w:wordWrap/>
        <w:overflowPunct/>
        <w:topLinePunct w:val="0"/>
        <w:autoSpaceDE/>
        <w:autoSpaceDN w:val="0"/>
        <w:bidi w:val="0"/>
        <w:adjustRightInd/>
        <w:snapToGrid/>
        <w:spacing w:line="56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三、申请条件</w:t>
      </w:r>
    </w:p>
    <w:p>
      <w:pPr>
        <w:keepNext w:val="0"/>
        <w:keepLines w:val="0"/>
        <w:pageBreakBefore w:val="0"/>
        <w:kinsoku/>
        <w:wordWrap/>
        <w:overflowPunct/>
        <w:topLinePunct w:val="0"/>
        <w:autoSpaceDE/>
        <w:bidi w:val="0"/>
        <w:adjustRightInd/>
        <w:snapToGrid/>
        <w:spacing w:line="560" w:lineRule="exact"/>
        <w:rPr>
          <w:rFonts w:ascii="Times New Roman" w:hAnsi="Times New Roman" w:eastAsia="楷体" w:cs="Times New Roman"/>
          <w:b/>
          <w:bCs/>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楷体" w:cs="Times New Roman"/>
          <w:b/>
          <w:bCs/>
          <w:color w:val="000000" w:themeColor="text1"/>
          <w:sz w:val="32"/>
          <w:szCs w:val="32"/>
          <w14:textFill>
            <w14:solidFill>
              <w14:schemeClr w14:val="tx1"/>
            </w14:solidFill>
          </w14:textFill>
        </w:rPr>
        <w:t>（一）基本条件</w:t>
      </w:r>
    </w:p>
    <w:p>
      <w:pPr>
        <w:keepNext w:val="0"/>
        <w:keepLines w:val="0"/>
        <w:pageBreakBefore w:val="0"/>
        <w:kinsoku/>
        <w:wordWrap/>
        <w:overflowPunct/>
        <w:topLinePunct w:val="0"/>
        <w:autoSpaceDE/>
        <w:bidi w:val="0"/>
        <w:adjustRightInd/>
        <w:snapToGrid/>
        <w:spacing w:line="560" w:lineRule="exact"/>
        <w:ind w:firstLine="640" w:firstLineChars="200"/>
        <w:textAlignment w:val="baseline"/>
        <w:rPr>
          <w:rStyle w:val="11"/>
          <w:rFonts w:ascii="Times New Roman" w:hAnsi="Times New Roman" w:eastAsia="仿宋_GB2312" w:cs="Times New Roman"/>
          <w:color w:val="000000" w:themeColor="text1"/>
          <w:sz w:val="32"/>
          <w:szCs w:val="32"/>
          <w14:textFill>
            <w14:solidFill>
              <w14:schemeClr w14:val="tx1"/>
            </w14:solidFill>
          </w14:textFill>
        </w:rPr>
      </w:pPr>
      <w:r>
        <w:rPr>
          <w:rStyle w:val="11"/>
          <w:rFonts w:hint="eastAsia" w:ascii="Times New Roman" w:hAnsi="Times New Roman" w:eastAsia="仿宋_GB2312" w:cs="Times New Roman"/>
          <w:color w:val="000000" w:themeColor="text1"/>
          <w:sz w:val="32"/>
          <w:szCs w:val="32"/>
          <w14:textFill>
            <w14:solidFill>
              <w14:schemeClr w14:val="tx1"/>
            </w14:solidFill>
          </w14:textFill>
        </w:rPr>
        <w:t>1.</w:t>
      </w:r>
      <w:r>
        <w:rPr>
          <w:rStyle w:val="11"/>
          <w:rFonts w:ascii="Times New Roman" w:hAnsi="Times New Roman" w:eastAsia="仿宋_GB2312" w:cs="Times New Roman"/>
          <w:color w:val="000000" w:themeColor="text1"/>
          <w:sz w:val="32"/>
          <w:szCs w:val="32"/>
          <w14:textFill>
            <w14:solidFill>
              <w14:schemeClr w14:val="tx1"/>
            </w14:solidFill>
          </w14:textFill>
        </w:rPr>
        <w:t>热爱社会主义祖国，拥护中国共产党的领导；</w:t>
      </w:r>
    </w:p>
    <w:p>
      <w:pPr>
        <w:keepNext w:val="0"/>
        <w:keepLines w:val="0"/>
        <w:pageBreakBefore w:val="0"/>
        <w:kinsoku/>
        <w:wordWrap/>
        <w:overflowPunct/>
        <w:topLinePunct w:val="0"/>
        <w:autoSpaceDE/>
        <w:bidi w:val="0"/>
        <w:adjustRightInd/>
        <w:snapToGrid/>
        <w:spacing w:line="560" w:lineRule="exact"/>
        <w:ind w:firstLine="640" w:firstLineChars="200"/>
        <w:textAlignment w:val="baseline"/>
        <w:rPr>
          <w:rStyle w:val="11"/>
          <w:rFonts w:ascii="Times New Roman" w:hAnsi="Times New Roman" w:eastAsia="仿宋_GB2312" w:cs="Times New Roman"/>
          <w:color w:val="000000" w:themeColor="text1"/>
          <w:sz w:val="32"/>
          <w:szCs w:val="32"/>
          <w14:textFill>
            <w14:solidFill>
              <w14:schemeClr w14:val="tx1"/>
            </w14:solidFill>
          </w14:textFill>
        </w:rPr>
      </w:pPr>
      <w:r>
        <w:rPr>
          <w:rStyle w:val="11"/>
          <w:rFonts w:hint="eastAsia" w:ascii="Times New Roman" w:hAnsi="Times New Roman" w:eastAsia="仿宋_GB2312" w:cs="Times New Roman"/>
          <w:color w:val="000000" w:themeColor="text1"/>
          <w:sz w:val="32"/>
          <w:szCs w:val="32"/>
          <w14:textFill>
            <w14:solidFill>
              <w14:schemeClr w14:val="tx1"/>
            </w14:solidFill>
          </w14:textFill>
        </w:rPr>
        <w:t>2.</w:t>
      </w:r>
      <w:r>
        <w:rPr>
          <w:rStyle w:val="11"/>
          <w:rFonts w:ascii="Times New Roman" w:hAnsi="Times New Roman" w:eastAsia="仿宋_GB2312" w:cs="Times New Roman"/>
          <w:color w:val="000000" w:themeColor="text1"/>
          <w:sz w:val="32"/>
          <w:szCs w:val="32"/>
          <w14:textFill>
            <w14:solidFill>
              <w14:schemeClr w14:val="tx1"/>
            </w14:solidFill>
          </w14:textFill>
        </w:rPr>
        <w:t>遵守宪法和法律，遵守学校规章制度；</w:t>
      </w:r>
    </w:p>
    <w:p>
      <w:pPr>
        <w:keepNext w:val="0"/>
        <w:keepLines w:val="0"/>
        <w:pageBreakBefore w:val="0"/>
        <w:kinsoku/>
        <w:wordWrap/>
        <w:overflowPunct/>
        <w:topLinePunct w:val="0"/>
        <w:autoSpaceDE/>
        <w:bidi w:val="0"/>
        <w:adjustRightInd/>
        <w:snapToGrid/>
        <w:spacing w:line="560" w:lineRule="exact"/>
        <w:ind w:firstLine="640" w:firstLineChars="200"/>
        <w:textAlignment w:val="baseline"/>
        <w:rPr>
          <w:rStyle w:val="11"/>
          <w:rFonts w:ascii="Times New Roman" w:hAnsi="Times New Roman" w:eastAsia="仿宋_GB2312" w:cs="Times New Roman"/>
          <w:color w:val="000000" w:themeColor="text1"/>
          <w:sz w:val="32"/>
          <w:szCs w:val="32"/>
          <w14:textFill>
            <w14:solidFill>
              <w14:schemeClr w14:val="tx1"/>
            </w14:solidFill>
          </w14:textFill>
        </w:rPr>
      </w:pPr>
      <w:r>
        <w:rPr>
          <w:rStyle w:val="11"/>
          <w:rFonts w:hint="eastAsia" w:ascii="Times New Roman" w:hAnsi="Times New Roman" w:eastAsia="仿宋_GB2312" w:cs="Times New Roman"/>
          <w:color w:val="000000" w:themeColor="text1"/>
          <w:sz w:val="32"/>
          <w:szCs w:val="32"/>
          <w14:textFill>
            <w14:solidFill>
              <w14:schemeClr w14:val="tx1"/>
            </w14:solidFill>
          </w14:textFill>
        </w:rPr>
        <w:t>3.</w:t>
      </w:r>
      <w:r>
        <w:rPr>
          <w:rStyle w:val="11"/>
          <w:rFonts w:ascii="Times New Roman" w:hAnsi="Times New Roman" w:eastAsia="仿宋_GB2312" w:cs="Times New Roman"/>
          <w:color w:val="000000" w:themeColor="text1"/>
          <w:sz w:val="32"/>
          <w:szCs w:val="32"/>
          <w14:textFill>
            <w14:solidFill>
              <w14:schemeClr w14:val="tx1"/>
            </w14:solidFill>
          </w14:textFill>
        </w:rPr>
        <w:t>诚实守信，注重团结合作、不断创新；</w:t>
      </w:r>
    </w:p>
    <w:p>
      <w:pPr>
        <w:keepNext w:val="0"/>
        <w:keepLines w:val="0"/>
        <w:pageBreakBefore w:val="0"/>
        <w:kinsoku/>
        <w:wordWrap/>
        <w:overflowPunct/>
        <w:topLinePunct w:val="0"/>
        <w:autoSpaceDE/>
        <w:bidi w:val="0"/>
        <w:adjustRightInd/>
        <w:snapToGrid/>
        <w:spacing w:line="560" w:lineRule="exact"/>
        <w:ind w:firstLine="640" w:firstLineChars="200"/>
        <w:textAlignment w:val="baseline"/>
        <w:rPr>
          <w:rStyle w:val="11"/>
          <w:rFonts w:ascii="Times New Roman" w:hAnsi="Times New Roman" w:eastAsia="仿宋_GB2312" w:cs="Times New Roman"/>
          <w:color w:val="000000" w:themeColor="text1"/>
          <w:sz w:val="32"/>
          <w:szCs w:val="32"/>
          <w14:textFill>
            <w14:solidFill>
              <w14:schemeClr w14:val="tx1"/>
            </w14:solidFill>
          </w14:textFill>
        </w:rPr>
      </w:pPr>
      <w:r>
        <w:rPr>
          <w:rStyle w:val="11"/>
          <w:rFonts w:hint="eastAsia" w:ascii="Times New Roman" w:hAnsi="Times New Roman" w:eastAsia="仿宋_GB2312" w:cs="Times New Roman"/>
          <w:color w:val="000000" w:themeColor="text1"/>
          <w:sz w:val="32"/>
          <w:szCs w:val="32"/>
          <w14:textFill>
            <w14:solidFill>
              <w14:schemeClr w14:val="tx1"/>
            </w14:solidFill>
          </w14:textFill>
        </w:rPr>
        <w:t>4.</w:t>
      </w:r>
      <w:r>
        <w:rPr>
          <w:rStyle w:val="11"/>
          <w:rFonts w:ascii="Times New Roman" w:hAnsi="Times New Roman" w:eastAsia="仿宋_GB2312" w:cs="Times New Roman"/>
          <w:color w:val="000000" w:themeColor="text1"/>
          <w:sz w:val="32"/>
          <w:szCs w:val="32"/>
          <w14:textFill>
            <w14:solidFill>
              <w14:schemeClr w14:val="tx1"/>
            </w14:solidFill>
          </w14:textFill>
        </w:rPr>
        <w:t>关心集体，积极参加社会实践和公益活动；</w:t>
      </w:r>
    </w:p>
    <w:p>
      <w:pPr>
        <w:keepNext w:val="0"/>
        <w:keepLines w:val="0"/>
        <w:pageBreakBefore w:val="0"/>
        <w:kinsoku/>
        <w:wordWrap/>
        <w:overflowPunct/>
        <w:topLinePunct w:val="0"/>
        <w:autoSpaceDE/>
        <w:bidi w:val="0"/>
        <w:adjustRightInd/>
        <w:snapToGrid/>
        <w:spacing w:line="560" w:lineRule="exact"/>
        <w:ind w:firstLine="640" w:firstLineChars="200"/>
        <w:textAlignment w:val="baseline"/>
        <w:rPr>
          <w:rStyle w:val="11"/>
          <w:rFonts w:ascii="Times New Roman" w:hAnsi="Times New Roman" w:eastAsia="仿宋_GB2312" w:cs="Times New Roman"/>
          <w:color w:val="000000" w:themeColor="text1"/>
          <w:sz w:val="32"/>
          <w:szCs w:val="32"/>
          <w14:textFill>
            <w14:solidFill>
              <w14:schemeClr w14:val="tx1"/>
            </w14:solidFill>
          </w14:textFill>
        </w:rPr>
      </w:pPr>
      <w:r>
        <w:rPr>
          <w:rStyle w:val="11"/>
          <w:rFonts w:hint="eastAsia" w:ascii="Times New Roman" w:hAnsi="Times New Roman" w:eastAsia="仿宋_GB2312" w:cs="Times New Roman"/>
          <w:color w:val="000000" w:themeColor="text1"/>
          <w:sz w:val="32"/>
          <w:szCs w:val="32"/>
          <w14:textFill>
            <w14:solidFill>
              <w14:schemeClr w14:val="tx1"/>
            </w14:solidFill>
          </w14:textFill>
        </w:rPr>
        <w:t>5.</w:t>
      </w:r>
      <w:r>
        <w:rPr>
          <w:rStyle w:val="11"/>
          <w:rFonts w:ascii="Times New Roman" w:hAnsi="Times New Roman" w:eastAsia="仿宋_GB2312" w:cs="Times New Roman"/>
          <w:color w:val="000000" w:themeColor="text1"/>
          <w:sz w:val="32"/>
          <w:szCs w:val="32"/>
          <w14:textFill>
            <w14:solidFill>
              <w14:schemeClr w14:val="tx1"/>
            </w14:solidFill>
          </w14:textFill>
        </w:rPr>
        <w:t>学风优良，崇尚学术道德。</w:t>
      </w:r>
    </w:p>
    <w:p>
      <w:pPr>
        <w:keepNext w:val="0"/>
        <w:keepLines w:val="0"/>
        <w:pageBreakBefore w:val="0"/>
        <w:kinsoku/>
        <w:wordWrap/>
        <w:overflowPunct/>
        <w:topLinePunct w:val="0"/>
        <w:autoSpaceDE/>
        <w:bidi w:val="0"/>
        <w:adjustRightInd/>
        <w:snapToGrid/>
        <w:spacing w:line="560" w:lineRule="exact"/>
        <w:ind w:firstLine="643" w:firstLineChars="200"/>
        <w:textAlignment w:val="baseline"/>
        <w:rPr>
          <w:rFonts w:ascii="Times New Roman" w:hAnsi="Times New Roman" w:eastAsia="楷体" w:cs="Times New Roman"/>
          <w:b/>
          <w:bCs/>
          <w:color w:val="000000" w:themeColor="text1"/>
          <w:sz w:val="32"/>
          <w:szCs w:val="32"/>
          <w14:textFill>
            <w14:solidFill>
              <w14:schemeClr w14:val="tx1"/>
            </w14:solidFill>
          </w14:textFill>
        </w:rPr>
      </w:pPr>
      <w:r>
        <w:rPr>
          <w:rFonts w:hint="eastAsia" w:ascii="Times New Roman" w:hAnsi="Times New Roman" w:eastAsia="楷体" w:cs="Times New Roman"/>
          <w:b/>
          <w:bCs/>
          <w:color w:val="000000" w:themeColor="text1"/>
          <w:sz w:val="32"/>
          <w:szCs w:val="32"/>
          <w14:textFill>
            <w14:solidFill>
              <w14:schemeClr w14:val="tx1"/>
            </w14:solidFill>
          </w14:textFill>
        </w:rPr>
        <w:t>（二）首次评定具体条件</w:t>
      </w:r>
    </w:p>
    <w:p>
      <w:pPr>
        <w:keepNext w:val="0"/>
        <w:keepLines w:val="0"/>
        <w:pageBreakBefore w:val="0"/>
        <w:kinsoku/>
        <w:wordWrap/>
        <w:overflowPunct/>
        <w:topLinePunct w:val="0"/>
        <w:autoSpaceDE/>
        <w:bidi w:val="0"/>
        <w:adjustRightInd/>
        <w:snapToGrid/>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1.博士研究生学业奖学金原则上根据攻读身份资格直接评定。</w:t>
      </w:r>
    </w:p>
    <w:p>
      <w:pPr>
        <w:keepNext w:val="0"/>
        <w:keepLines w:val="0"/>
        <w:pageBreakBefore w:val="0"/>
        <w:kinsoku/>
        <w:wordWrap/>
        <w:overflowPunct/>
        <w:topLinePunct w:val="0"/>
        <w:autoSpaceDE/>
        <w:bidi w:val="0"/>
        <w:adjustRightInd/>
        <w:snapToGrid/>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2.硕士研究生</w:t>
      </w:r>
      <w:r>
        <w:rPr>
          <w:rFonts w:hint="eastAsia" w:ascii="Times New Roman" w:hAnsi="Times New Roman" w:eastAsia="仿宋_GB2312" w:cs="Times New Roman"/>
          <w:b/>
          <w:bCs/>
          <w:color w:val="000000" w:themeColor="text1"/>
          <w:sz w:val="32"/>
          <w:szCs w:val="32"/>
          <w14:textFill>
            <w14:solidFill>
              <w14:schemeClr w14:val="tx1"/>
            </w14:solidFill>
          </w14:textFill>
        </w:rPr>
        <w:t>特等学业奖学金</w:t>
      </w:r>
      <w:r>
        <w:rPr>
          <w:rFonts w:hint="eastAsia" w:ascii="Times New Roman" w:hAnsi="Times New Roman" w:eastAsia="仿宋_GB2312" w:cs="Times New Roman"/>
          <w:color w:val="000000" w:themeColor="text1"/>
          <w:sz w:val="32"/>
          <w:szCs w:val="32"/>
          <w14:textFill>
            <w14:solidFill>
              <w14:schemeClr w14:val="tx1"/>
            </w14:solidFill>
          </w14:textFill>
        </w:rPr>
        <w:t>评定条件</w:t>
      </w:r>
    </w:p>
    <w:p>
      <w:pPr>
        <w:keepNext w:val="0"/>
        <w:keepLines w:val="0"/>
        <w:pageBreakBefore w:val="0"/>
        <w:kinsoku/>
        <w:wordWrap/>
        <w:overflowPunct/>
        <w:topLinePunct w:val="0"/>
        <w:autoSpaceDE/>
        <w:bidi w:val="0"/>
        <w:adjustRightInd/>
        <w:snapToGrid/>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①第一志愿报考我校并录取的优质生源（由各培养单位认定），可择优推荐至学校评定；</w:t>
      </w:r>
    </w:p>
    <w:p>
      <w:pPr>
        <w:keepNext w:val="0"/>
        <w:keepLines w:val="0"/>
        <w:pageBreakBefore w:val="0"/>
        <w:kinsoku/>
        <w:wordWrap/>
        <w:overflowPunct/>
        <w:topLinePunct w:val="0"/>
        <w:autoSpaceDE/>
        <w:bidi w:val="0"/>
        <w:adjustRightInd/>
        <w:snapToGrid/>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②推荐免试的研究生本科成绩排名前15%可择优推荐至学校评定。</w:t>
      </w:r>
    </w:p>
    <w:p>
      <w:pPr>
        <w:keepNext w:val="0"/>
        <w:keepLines w:val="0"/>
        <w:pageBreakBefore w:val="0"/>
        <w:kinsoku/>
        <w:wordWrap/>
        <w:overflowPunct/>
        <w:topLinePunct w:val="0"/>
        <w:autoSpaceDE/>
        <w:bidi w:val="0"/>
        <w:adjustRightInd/>
        <w:snapToGrid/>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3.硕士研究生一等学业奖学金评定条件</w:t>
      </w:r>
    </w:p>
    <w:p>
      <w:pPr>
        <w:keepNext w:val="0"/>
        <w:keepLines w:val="0"/>
        <w:pageBreakBefore w:val="0"/>
        <w:kinsoku/>
        <w:wordWrap/>
        <w:overflowPunct/>
        <w:topLinePunct w:val="0"/>
        <w:autoSpaceDE/>
        <w:bidi w:val="0"/>
        <w:adjustRightInd/>
        <w:snapToGrid/>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①第一志愿报考我校并录取的其他优质生源（由各培养单位认定）；</w:t>
      </w:r>
    </w:p>
    <w:p>
      <w:pPr>
        <w:keepNext w:val="0"/>
        <w:keepLines w:val="0"/>
        <w:pageBreakBefore w:val="0"/>
        <w:kinsoku/>
        <w:wordWrap/>
        <w:overflowPunct/>
        <w:topLinePunct w:val="0"/>
        <w:autoSpaceDE/>
        <w:bidi w:val="0"/>
        <w:adjustRightInd/>
        <w:snapToGrid/>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②本校及外校推荐免试到我校入学的研究生（含研究生支教生）;</w:t>
      </w:r>
    </w:p>
    <w:p>
      <w:pPr>
        <w:keepNext w:val="0"/>
        <w:keepLines w:val="0"/>
        <w:pageBreakBefore w:val="0"/>
        <w:kinsoku/>
        <w:wordWrap/>
        <w:overflowPunct/>
        <w:topLinePunct w:val="0"/>
        <w:autoSpaceDE/>
        <w:bidi w:val="0"/>
        <w:adjustRightInd/>
        <w:snapToGrid/>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③参加我校优秀大学生夏令营计划并获得优秀营员称号且被我校录取的研究生；</w:t>
      </w:r>
    </w:p>
    <w:p>
      <w:pPr>
        <w:keepNext w:val="0"/>
        <w:keepLines w:val="0"/>
        <w:pageBreakBefore w:val="0"/>
        <w:kinsoku/>
        <w:wordWrap/>
        <w:overflowPunct/>
        <w:topLinePunct w:val="0"/>
        <w:autoSpaceDE/>
        <w:bidi w:val="0"/>
        <w:adjustRightInd/>
        <w:snapToGrid/>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④学业奖学金一等奖比例范围内，按学校审核的录取顺序排序靠前的研究生。</w:t>
      </w:r>
    </w:p>
    <w:p>
      <w:pPr>
        <w:keepNext w:val="0"/>
        <w:keepLines w:val="0"/>
        <w:pageBreakBefore w:val="0"/>
        <w:kinsoku/>
        <w:wordWrap/>
        <w:overflowPunct/>
        <w:topLinePunct w:val="0"/>
        <w:autoSpaceDE/>
        <w:bidi w:val="0"/>
        <w:adjustRightInd/>
        <w:snapToGrid/>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4.硕士研究生二等学业奖学金评定条件</w:t>
      </w:r>
    </w:p>
    <w:p>
      <w:pPr>
        <w:keepNext w:val="0"/>
        <w:keepLines w:val="0"/>
        <w:pageBreakBefore w:val="0"/>
        <w:kinsoku/>
        <w:wordWrap/>
        <w:overflowPunct/>
        <w:topLinePunct w:val="0"/>
        <w:autoSpaceDE/>
        <w:bidi w:val="0"/>
        <w:adjustRightInd/>
        <w:snapToGrid/>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没有获得特等或一等学业奖学金但符合首次评定基本条件的研究生，且培养单位研究生学业奖学金评审委员会评审同意。</w:t>
      </w:r>
    </w:p>
    <w:p>
      <w:pPr>
        <w:keepNext w:val="0"/>
        <w:keepLines w:val="0"/>
        <w:pageBreakBefore w:val="0"/>
        <w:kinsoku/>
        <w:wordWrap/>
        <w:overflowPunct/>
        <w:topLinePunct w:val="0"/>
        <w:autoSpaceDE/>
        <w:autoSpaceDN w:val="0"/>
        <w:bidi w:val="0"/>
        <w:adjustRightInd/>
        <w:snapToGrid/>
        <w:spacing w:line="560" w:lineRule="exact"/>
        <w:ind w:firstLine="645"/>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四、评定原则</w:t>
      </w:r>
    </w:p>
    <w:p>
      <w:pPr>
        <w:keepNext w:val="0"/>
        <w:keepLines w:val="0"/>
        <w:pageBreakBefore w:val="0"/>
        <w:kinsoku/>
        <w:wordWrap/>
        <w:overflowPunct/>
        <w:topLinePunct w:val="0"/>
        <w:autoSpaceDE/>
        <w:bidi w:val="0"/>
        <w:adjustRightInd/>
        <w:snapToGrid/>
        <w:spacing w:line="560" w:lineRule="exact"/>
        <w:ind w:firstLine="645"/>
        <w:outlineLvl w:val="1"/>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（一）博士研究生学业奖学金对照评定对象范围着重审核攻读身份资格。</w:t>
      </w:r>
    </w:p>
    <w:p>
      <w:pPr>
        <w:keepNext w:val="0"/>
        <w:keepLines w:val="0"/>
        <w:pageBreakBefore w:val="0"/>
        <w:kinsoku/>
        <w:wordWrap/>
        <w:overflowPunct/>
        <w:topLinePunct w:val="0"/>
        <w:autoSpaceDE/>
        <w:bidi w:val="0"/>
        <w:adjustRightInd/>
        <w:snapToGrid/>
        <w:spacing w:line="560" w:lineRule="exact"/>
        <w:ind w:firstLine="645"/>
        <w:outlineLvl w:val="1"/>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（二）硕士研究生学业奖学金评定办法</w:t>
      </w:r>
    </w:p>
    <w:p>
      <w:pPr>
        <w:keepNext w:val="0"/>
        <w:keepLines w:val="0"/>
        <w:pageBreakBefore w:val="0"/>
        <w:kinsoku/>
        <w:wordWrap/>
        <w:overflowPunct/>
        <w:topLinePunct w:val="0"/>
        <w:autoSpaceDE/>
        <w:bidi w:val="0"/>
        <w:adjustRightInd/>
        <w:snapToGrid/>
        <w:spacing w:line="560" w:lineRule="exact"/>
        <w:ind w:firstLine="645"/>
        <w:outlineLvl w:val="1"/>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1.硕士研究生学业奖学金首次评定时原则上按参评人数50%（一等）、40%（二等）比例确定，特等奖对照评定条件按10%比例报送学校遴选；</w:t>
      </w:r>
    </w:p>
    <w:p>
      <w:pPr>
        <w:keepNext w:val="0"/>
        <w:keepLines w:val="0"/>
        <w:pageBreakBefore w:val="0"/>
        <w:kinsoku/>
        <w:wordWrap/>
        <w:overflowPunct/>
        <w:topLinePunct w:val="0"/>
        <w:autoSpaceDE/>
        <w:bidi w:val="0"/>
        <w:adjustRightInd/>
        <w:snapToGrid/>
        <w:spacing w:line="560" w:lineRule="exact"/>
        <w:ind w:firstLine="645"/>
        <w:outlineLvl w:val="1"/>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2.符合</w:t>
      </w:r>
      <w:r>
        <w:rPr>
          <w:rFonts w:hint="eastAsia" w:ascii="Times New Roman" w:hAnsi="Times New Roman" w:eastAsia="仿宋_GB2312" w:cs="Times New Roman"/>
          <w:b/>
          <w:color w:val="000000" w:themeColor="text1"/>
          <w:sz w:val="32"/>
          <w:szCs w:val="32"/>
          <w14:textFill>
            <w14:solidFill>
              <w14:schemeClr w14:val="tx1"/>
            </w14:solidFill>
          </w14:textFill>
        </w:rPr>
        <w:t>特等奖学金评定条件</w:t>
      </w:r>
      <w:r>
        <w:rPr>
          <w:rFonts w:hint="eastAsia" w:ascii="Times New Roman" w:hAnsi="Times New Roman" w:eastAsia="仿宋_GB2312" w:cs="Times New Roman"/>
          <w:color w:val="000000" w:themeColor="text1"/>
          <w:sz w:val="32"/>
          <w:szCs w:val="32"/>
          <w14:textFill>
            <w14:solidFill>
              <w14:schemeClr w14:val="tx1"/>
            </w14:solidFill>
          </w14:textFill>
        </w:rPr>
        <w:t>第①、②点对象，根据实际情况填表报送，参评生比例原则上小于等于10%；</w:t>
      </w:r>
    </w:p>
    <w:p>
      <w:pPr>
        <w:keepNext w:val="0"/>
        <w:keepLines w:val="0"/>
        <w:pageBreakBefore w:val="0"/>
        <w:kinsoku/>
        <w:wordWrap/>
        <w:overflowPunct/>
        <w:topLinePunct w:val="0"/>
        <w:autoSpaceDE/>
        <w:bidi w:val="0"/>
        <w:adjustRightInd/>
        <w:snapToGrid/>
        <w:spacing w:line="560" w:lineRule="exact"/>
        <w:ind w:firstLine="645"/>
        <w:outlineLvl w:val="1"/>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3.符合</w:t>
      </w:r>
      <w:r>
        <w:rPr>
          <w:rFonts w:hint="eastAsia" w:ascii="Times New Roman" w:hAnsi="Times New Roman" w:eastAsia="仿宋_GB2312" w:cs="Times New Roman"/>
          <w:b/>
          <w:color w:val="000000" w:themeColor="text1"/>
          <w:sz w:val="32"/>
          <w:szCs w:val="32"/>
          <w14:textFill>
            <w14:solidFill>
              <w14:schemeClr w14:val="tx1"/>
            </w14:solidFill>
          </w14:textFill>
        </w:rPr>
        <w:t>一等学业奖学金评定条件</w:t>
      </w:r>
      <w:r>
        <w:rPr>
          <w:rFonts w:hint="eastAsia" w:ascii="Times New Roman" w:hAnsi="Times New Roman" w:eastAsia="仿宋_GB2312" w:cs="Times New Roman"/>
          <w:color w:val="000000" w:themeColor="text1"/>
          <w:sz w:val="32"/>
          <w:szCs w:val="32"/>
          <w14:textFill>
            <w14:solidFill>
              <w14:schemeClr w14:val="tx1"/>
            </w14:solidFill>
          </w14:textFill>
        </w:rPr>
        <w:t>第①或第②或第③点对象，可直接填表报送；符合第④点对象，如培养单位一等奖占参评生比例未到50%，可按比例依序评定报送至满额，但必须按招生录取已量化的总分排序名次评定；</w:t>
      </w:r>
    </w:p>
    <w:p>
      <w:pPr>
        <w:keepNext w:val="0"/>
        <w:keepLines w:val="0"/>
        <w:pageBreakBefore w:val="0"/>
        <w:kinsoku/>
        <w:wordWrap/>
        <w:overflowPunct/>
        <w:topLinePunct w:val="0"/>
        <w:autoSpaceDE/>
        <w:bidi w:val="0"/>
        <w:adjustRightInd/>
        <w:snapToGrid/>
        <w:spacing w:line="560" w:lineRule="exact"/>
        <w:ind w:firstLine="645"/>
        <w:outlineLvl w:val="1"/>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4.符合</w:t>
      </w:r>
      <w:r>
        <w:rPr>
          <w:rFonts w:hint="eastAsia" w:ascii="Times New Roman" w:hAnsi="Times New Roman" w:eastAsia="仿宋_GB2312" w:cs="Times New Roman"/>
          <w:b/>
          <w:bCs/>
          <w:color w:val="000000" w:themeColor="text1"/>
          <w:sz w:val="32"/>
          <w:szCs w:val="32"/>
          <w14:textFill>
            <w14:solidFill>
              <w14:schemeClr w14:val="tx1"/>
            </w14:solidFill>
          </w14:textFill>
        </w:rPr>
        <w:t>二等学业奖学金评定条件</w:t>
      </w:r>
      <w:r>
        <w:rPr>
          <w:rFonts w:hint="eastAsia" w:ascii="Times New Roman" w:hAnsi="Times New Roman" w:eastAsia="仿宋_GB2312" w:cs="Times New Roman"/>
          <w:color w:val="000000" w:themeColor="text1"/>
          <w:sz w:val="32"/>
          <w:szCs w:val="32"/>
          <w14:textFill>
            <w14:solidFill>
              <w14:schemeClr w14:val="tx1"/>
            </w14:solidFill>
          </w14:textFill>
        </w:rPr>
        <w:t>直接排序填表报送。</w:t>
      </w:r>
    </w:p>
    <w:p>
      <w:pPr>
        <w:keepNext w:val="0"/>
        <w:keepLines w:val="0"/>
        <w:pageBreakBefore w:val="0"/>
        <w:kinsoku/>
        <w:wordWrap/>
        <w:overflowPunct/>
        <w:topLinePunct w:val="0"/>
        <w:autoSpaceDE/>
        <w:bidi w:val="0"/>
        <w:adjustRightInd/>
        <w:snapToGrid/>
        <w:spacing w:line="560" w:lineRule="exact"/>
        <w:ind w:firstLine="645"/>
        <w:outlineLvl w:val="1"/>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5.学校只公布各培养单位参评人数，各培养单位应根据相应结构比例统筹各学位点情况，科学制定本单位评定细则。（现已复学的202</w:t>
      </w:r>
      <w:r>
        <w:rPr>
          <w:rFonts w:ascii="Times New Roman" w:hAnsi="Times New Roman" w:eastAsia="仿宋_GB2312" w:cs="Times New Roman"/>
          <w:color w:val="000000" w:themeColor="text1"/>
          <w:sz w:val="32"/>
          <w:szCs w:val="32"/>
          <w14:textFill>
            <w14:solidFill>
              <w14:schemeClr w14:val="tx1"/>
            </w14:solidFill>
          </w14:textFill>
        </w:rPr>
        <w:t>2</w:t>
      </w:r>
      <w:r>
        <w:rPr>
          <w:rFonts w:hint="eastAsia" w:ascii="Times New Roman" w:hAnsi="Times New Roman" w:eastAsia="仿宋_GB2312" w:cs="Times New Roman"/>
          <w:color w:val="000000" w:themeColor="text1"/>
          <w:sz w:val="32"/>
          <w:szCs w:val="32"/>
          <w14:textFill>
            <w14:solidFill>
              <w14:schemeClr w14:val="tx1"/>
            </w14:solidFill>
          </w14:textFill>
        </w:rPr>
        <w:t>级研究生，这次与</w:t>
      </w:r>
      <w:r>
        <w:rPr>
          <w:rFonts w:ascii="Times New Roman" w:hAnsi="Times New Roman" w:eastAsia="仿宋_GB2312" w:cs="Times New Roman"/>
          <w:color w:val="000000" w:themeColor="text1"/>
          <w:sz w:val="32"/>
          <w:szCs w:val="32"/>
          <w14:textFill>
            <w14:solidFill>
              <w14:schemeClr w14:val="tx1"/>
            </w14:solidFill>
          </w14:textFill>
        </w:rPr>
        <w:t>2023</w:t>
      </w:r>
      <w:r>
        <w:rPr>
          <w:rFonts w:hint="eastAsia" w:ascii="Times New Roman" w:hAnsi="Times New Roman" w:eastAsia="仿宋_GB2312" w:cs="Times New Roman"/>
          <w:color w:val="000000" w:themeColor="text1"/>
          <w:sz w:val="32"/>
          <w:szCs w:val="32"/>
          <w14:textFill>
            <w14:solidFill>
              <w14:schemeClr w14:val="tx1"/>
            </w14:solidFill>
          </w14:textFill>
        </w:rPr>
        <w:t>级一起参评</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202</w:t>
      </w:r>
      <w:r>
        <w:rPr>
          <w:rFonts w:ascii="Times New Roman" w:hAnsi="Times New Roman" w:eastAsia="仿宋_GB2312" w:cs="Times New Roman"/>
          <w:color w:val="000000" w:themeColor="text1"/>
          <w:sz w:val="32"/>
          <w:szCs w:val="32"/>
          <w14:textFill>
            <w14:solidFill>
              <w14:schemeClr w14:val="tx1"/>
            </w14:solidFill>
          </w14:textFill>
        </w:rPr>
        <w:t>3</w:t>
      </w:r>
      <w:r>
        <w:rPr>
          <w:rFonts w:hint="eastAsia" w:ascii="Times New Roman" w:hAnsi="Times New Roman" w:eastAsia="仿宋_GB2312" w:cs="Times New Roman"/>
          <w:color w:val="000000" w:themeColor="text1"/>
          <w:sz w:val="32"/>
          <w:szCs w:val="32"/>
          <w14:textFill>
            <w14:solidFill>
              <w14:schemeClr w14:val="tx1"/>
            </w14:solidFill>
          </w14:textFill>
        </w:rPr>
        <w:t>级休学以及保留入学资格的对象本次不参评。）</w:t>
      </w:r>
    </w:p>
    <w:p>
      <w:pPr>
        <w:keepNext w:val="0"/>
        <w:keepLines w:val="0"/>
        <w:pageBreakBefore w:val="0"/>
        <w:kinsoku/>
        <w:wordWrap/>
        <w:overflowPunct/>
        <w:topLinePunct w:val="0"/>
        <w:autoSpaceDE/>
        <w:bidi w:val="0"/>
        <w:adjustRightInd/>
        <w:snapToGrid/>
        <w:spacing w:line="560" w:lineRule="exact"/>
        <w:outlineLvl w:val="1"/>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 xml:space="preserve">    6.申报学业奖学金的研究生业绩材料从202</w:t>
      </w:r>
      <w:r>
        <w:rPr>
          <w:rFonts w:ascii="Times New Roman" w:hAnsi="Times New Roman" w:eastAsia="仿宋_GB2312" w:cs="Times New Roman"/>
          <w:color w:val="000000" w:themeColor="text1"/>
          <w:sz w:val="32"/>
          <w:szCs w:val="32"/>
          <w14:textFill>
            <w14:solidFill>
              <w14:schemeClr w14:val="tx1"/>
            </w14:solidFill>
          </w14:textFill>
        </w:rPr>
        <w:t>3</w:t>
      </w:r>
      <w:r>
        <w:rPr>
          <w:rFonts w:hint="eastAsia" w:ascii="Times New Roman" w:hAnsi="Times New Roman" w:eastAsia="仿宋_GB2312" w:cs="Times New Roman"/>
          <w:color w:val="000000" w:themeColor="text1"/>
          <w:sz w:val="32"/>
          <w:szCs w:val="32"/>
          <w14:textFill>
            <w14:solidFill>
              <w14:schemeClr w14:val="tx1"/>
            </w14:solidFill>
          </w14:textFill>
        </w:rPr>
        <w:t>年9月入校后起算，业绩截止时间202</w:t>
      </w:r>
      <w:r>
        <w:rPr>
          <w:rFonts w:ascii="Times New Roman" w:hAnsi="Times New Roman" w:eastAsia="仿宋_GB2312" w:cs="Times New Roman"/>
          <w:color w:val="000000" w:themeColor="text1"/>
          <w:sz w:val="32"/>
          <w:szCs w:val="32"/>
          <w14:textFill>
            <w14:solidFill>
              <w14:schemeClr w14:val="tx1"/>
            </w14:solidFill>
          </w14:textFill>
        </w:rPr>
        <w:t>4</w:t>
      </w:r>
      <w:r>
        <w:rPr>
          <w:rFonts w:hint="eastAsia" w:ascii="Times New Roman" w:hAnsi="Times New Roman" w:eastAsia="仿宋_GB2312" w:cs="Times New Roman"/>
          <w:color w:val="000000" w:themeColor="text1"/>
          <w:sz w:val="32"/>
          <w:szCs w:val="32"/>
          <w14:textFill>
            <w14:solidFill>
              <w14:schemeClr w14:val="tx1"/>
            </w14:solidFill>
          </w14:textFill>
        </w:rPr>
        <w:t>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eastAsia" w:ascii="Times New Roman" w:hAnsi="Times New Roman" w:eastAsia="仿宋_GB2312" w:cs="Times New Roman"/>
          <w:color w:val="000000" w:themeColor="text1"/>
          <w:sz w:val="32"/>
          <w:szCs w:val="32"/>
          <w14:textFill>
            <w14:solidFill>
              <w14:schemeClr w14:val="tx1"/>
            </w14:solidFill>
          </w14:textFill>
        </w:rPr>
        <w:t>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29</w:t>
      </w:r>
      <w:r>
        <w:rPr>
          <w:rFonts w:hint="eastAsia" w:ascii="Times New Roman" w:hAnsi="Times New Roman" w:eastAsia="仿宋_GB2312" w:cs="Times New Roman"/>
          <w:color w:val="000000" w:themeColor="text1"/>
          <w:sz w:val="32"/>
          <w:szCs w:val="32"/>
          <w14:textFill>
            <w14:solidFill>
              <w14:schemeClr w14:val="tx1"/>
            </w14:solidFill>
          </w14:textFill>
        </w:rPr>
        <w:t>日。</w:t>
      </w:r>
    </w:p>
    <w:p>
      <w:pPr>
        <w:keepNext w:val="0"/>
        <w:keepLines w:val="0"/>
        <w:pageBreakBefore w:val="0"/>
        <w:kinsoku/>
        <w:wordWrap/>
        <w:overflowPunct/>
        <w:topLinePunct w:val="0"/>
        <w:autoSpaceDE/>
        <w:autoSpaceDN w:val="0"/>
        <w:bidi w:val="0"/>
        <w:adjustRightInd/>
        <w:snapToGrid/>
        <w:spacing w:line="560" w:lineRule="exact"/>
        <w:ind w:firstLine="645"/>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五、评定程序</w:t>
      </w:r>
    </w:p>
    <w:p>
      <w:pPr>
        <w:keepNext w:val="0"/>
        <w:keepLines w:val="0"/>
        <w:pageBreakBefore w:val="0"/>
        <w:kinsoku/>
        <w:wordWrap/>
        <w:overflowPunct/>
        <w:topLinePunct w:val="0"/>
        <w:autoSpaceDE/>
        <w:bidi w:val="0"/>
        <w:adjustRightInd/>
        <w:snapToGrid/>
        <w:spacing w:line="560" w:lineRule="exact"/>
        <w:ind w:firstLine="645"/>
        <w:outlineLvl w:val="1"/>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1.学生个人通过南昌大学“研究生教育教学管理系统”(https://yjsgl.ncu.edu.cn/index.html)自主申报并按要求填报</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业绩材料</w:t>
      </w:r>
      <w:r>
        <w:rPr>
          <w:rFonts w:hint="eastAsia" w:ascii="Times New Roman" w:hAnsi="Times New Roman" w:eastAsia="仿宋_GB2312" w:cs="Times New Roman"/>
          <w:color w:val="000000" w:themeColor="text1"/>
          <w:sz w:val="32"/>
          <w:szCs w:val="32"/>
          <w14:textFill>
            <w14:solidFill>
              <w14:schemeClr w14:val="tx1"/>
            </w14:solidFill>
          </w14:textFill>
        </w:rPr>
        <w:t>，对照相关等级申请条件向培养单位提交申请表及证明材料。</w:t>
      </w:r>
    </w:p>
    <w:p>
      <w:pPr>
        <w:keepNext w:val="0"/>
        <w:keepLines w:val="0"/>
        <w:pageBreakBefore w:val="0"/>
        <w:kinsoku/>
        <w:wordWrap/>
        <w:overflowPunct/>
        <w:topLinePunct w:val="0"/>
        <w:autoSpaceDE/>
        <w:bidi w:val="0"/>
        <w:adjustRightInd/>
        <w:snapToGrid/>
        <w:spacing w:line="560" w:lineRule="exact"/>
        <w:ind w:firstLine="645"/>
        <w:outlineLvl w:val="1"/>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2.各培养单位评审委员会召开评审会，对照条件审核研究生相关业绩及表现，将推荐评审结果公示无异议后（5个工作日）名单排序报送。</w:t>
      </w:r>
    </w:p>
    <w:p>
      <w:pPr>
        <w:keepNext w:val="0"/>
        <w:keepLines w:val="0"/>
        <w:pageBreakBefore w:val="0"/>
        <w:kinsoku/>
        <w:wordWrap/>
        <w:overflowPunct/>
        <w:topLinePunct w:val="0"/>
        <w:autoSpaceDE/>
        <w:bidi w:val="0"/>
        <w:adjustRightInd/>
        <w:snapToGrid/>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3.各培养单位评审委员会确定本单位推荐获奖学生名单后，在南昌大学“研究生教育教学管理系统”提交审核结果，各单位评审过程小结和推荐获奖学生名单汇总表签字盖章的PDF及WORD或EXCEL的电子版通过办公网邮箱发送至研工部陈燕老师，材料报送截止时间为202</w:t>
      </w:r>
      <w:r>
        <w:rPr>
          <w:rFonts w:ascii="Times New Roman" w:hAnsi="Times New Roman" w:eastAsia="仿宋_GB2312" w:cs="Times New Roman"/>
          <w:color w:val="000000" w:themeColor="text1"/>
          <w:sz w:val="32"/>
          <w:szCs w:val="32"/>
          <w14:textFill>
            <w14:solidFill>
              <w14:schemeClr w14:val="tx1"/>
            </w14:solidFill>
          </w14:textFill>
        </w:rPr>
        <w:t>4</w:t>
      </w:r>
      <w:r>
        <w:rPr>
          <w:rFonts w:hint="eastAsia" w:ascii="Times New Roman" w:hAnsi="Times New Roman" w:eastAsia="仿宋_GB2312" w:cs="Times New Roman"/>
          <w:color w:val="000000" w:themeColor="text1"/>
          <w:sz w:val="32"/>
          <w:szCs w:val="32"/>
          <w14:textFill>
            <w14:solidFill>
              <w14:schemeClr w14:val="tx1"/>
            </w14:solidFill>
          </w14:textFill>
        </w:rPr>
        <w:t>年3月2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9</w:t>
      </w:r>
      <w:r>
        <w:rPr>
          <w:rFonts w:hint="eastAsia" w:ascii="Times New Roman" w:hAnsi="Times New Roman" w:eastAsia="仿宋_GB2312" w:cs="Times New Roman"/>
          <w:color w:val="000000" w:themeColor="text1"/>
          <w:sz w:val="32"/>
          <w:szCs w:val="32"/>
          <w14:textFill>
            <w14:solidFill>
              <w14:schemeClr w14:val="tx1"/>
            </w14:solidFill>
          </w14:textFill>
        </w:rPr>
        <w:t>日。</w:t>
      </w:r>
    </w:p>
    <w:p>
      <w:pPr>
        <w:keepNext w:val="0"/>
        <w:keepLines w:val="0"/>
        <w:pageBreakBefore w:val="0"/>
        <w:kinsoku/>
        <w:wordWrap/>
        <w:overflowPunct/>
        <w:topLinePunct w:val="0"/>
        <w:autoSpaceDE/>
        <w:bidi w:val="0"/>
        <w:adjustRightInd/>
        <w:snapToGrid/>
        <w:spacing w:line="560" w:lineRule="exact"/>
        <w:ind w:firstLine="645"/>
        <w:outlineLvl w:val="1"/>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4.学校研究生学业奖学金评审领导小组进行审定，同时对申请特等学业奖学金对象进行评定。所有结果在全校范围内进行公示（5个工作日）。</w:t>
      </w:r>
    </w:p>
    <w:p>
      <w:pPr>
        <w:keepNext w:val="0"/>
        <w:keepLines w:val="0"/>
        <w:pageBreakBefore w:val="0"/>
        <w:widowControl w:val="0"/>
        <w:kinsoku/>
        <w:wordWrap/>
        <w:overflowPunct/>
        <w:topLinePunct w:val="0"/>
        <w:autoSpaceDE/>
        <w:autoSpaceDN w:val="0"/>
        <w:bidi w:val="0"/>
        <w:adjustRightInd/>
        <w:snapToGrid/>
        <w:spacing w:line="520" w:lineRule="exact"/>
        <w:ind w:firstLine="645"/>
        <w:textAlignment w:val="auto"/>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六、工作要求</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outlineLvl w:val="1"/>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楷体" w:cs="Times New Roman"/>
          <w:b/>
          <w:bCs/>
          <w:color w:val="000000" w:themeColor="text1"/>
          <w:sz w:val="32"/>
          <w:szCs w:val="32"/>
          <w14:textFill>
            <w14:solidFill>
              <w14:schemeClr w14:val="tx1"/>
            </w14:solidFill>
          </w14:textFill>
        </w:rPr>
        <w:t>1</w:t>
      </w:r>
      <w:r>
        <w:rPr>
          <w:rFonts w:hint="eastAsia" w:ascii="Times New Roman" w:hAnsi="Times New Roman" w:eastAsia="楷体" w:cs="Times New Roman"/>
          <w:b/>
          <w:bCs/>
          <w:color w:val="000000" w:themeColor="text1"/>
          <w:kern w:val="0"/>
          <w:sz w:val="32"/>
          <w:szCs w:val="32"/>
          <w14:textFill>
            <w14:solidFill>
              <w14:schemeClr w14:val="tx1"/>
            </w14:solidFill>
          </w14:textFill>
        </w:rPr>
        <w:t>.</w:t>
      </w:r>
      <w:r>
        <w:rPr>
          <w:rFonts w:hint="eastAsia" w:ascii="Times New Roman" w:hAnsi="Times New Roman" w:eastAsia="楷体" w:cs="Times New Roman"/>
          <w:b/>
          <w:bCs/>
          <w:color w:val="000000" w:themeColor="text1"/>
          <w:sz w:val="32"/>
          <w:szCs w:val="32"/>
          <w14:textFill>
            <w14:solidFill>
              <w14:schemeClr w14:val="tx1"/>
            </w14:solidFill>
          </w14:textFill>
        </w:rPr>
        <w:t>要高度重视，落实到位。</w:t>
      </w:r>
      <w:r>
        <w:rPr>
          <w:rFonts w:hint="eastAsia" w:ascii="Times New Roman" w:hAnsi="Times New Roman" w:eastAsia="仿宋_GB2312" w:cs="Times New Roman"/>
          <w:color w:val="000000" w:themeColor="text1"/>
          <w:sz w:val="32"/>
          <w:szCs w:val="32"/>
          <w14:textFill>
            <w14:solidFill>
              <w14:schemeClr w14:val="tx1"/>
            </w14:solidFill>
          </w14:textFill>
        </w:rPr>
        <w:t>研究生学业奖学金评定工作事关学生切身利益，各培养单位应高度重视，召开党政联席会议研究实施，确保学校相关改革举措落实到位。</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outlineLvl w:val="1"/>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楷体" w:cs="Times New Roman"/>
          <w:b/>
          <w:bCs/>
          <w:color w:val="000000" w:themeColor="text1"/>
          <w:sz w:val="32"/>
          <w:szCs w:val="32"/>
          <w14:textFill>
            <w14:solidFill>
              <w14:schemeClr w14:val="tx1"/>
            </w14:solidFill>
          </w14:textFill>
        </w:rPr>
        <w:t>2.要科学合理，宣传到位。</w:t>
      </w:r>
      <w:r>
        <w:rPr>
          <w:rFonts w:hint="eastAsia" w:ascii="Times New Roman" w:hAnsi="Times New Roman" w:eastAsia="仿宋_GB2312" w:cs="Times New Roman"/>
          <w:color w:val="000000" w:themeColor="text1"/>
          <w:sz w:val="32"/>
          <w:szCs w:val="32"/>
          <w14:textFill>
            <w14:solidFill>
              <w14:schemeClr w14:val="tx1"/>
            </w14:solidFill>
          </w14:textFill>
        </w:rPr>
        <w:t>各培养单位应结合本单位实际，科学合理地制定本单位研究生学业奖学金评定细则，明确优质生源认定条件。确保把学校出台的政策和本单位制定的政策宣传到位。</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outlineLvl w:val="1"/>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楷体" w:cs="Times New Roman"/>
          <w:b/>
          <w:bCs/>
          <w:color w:val="000000" w:themeColor="text1"/>
          <w:sz w:val="32"/>
          <w:szCs w:val="32"/>
          <w14:textFill>
            <w14:solidFill>
              <w14:schemeClr w14:val="tx1"/>
            </w14:solidFill>
          </w14:textFill>
        </w:rPr>
        <w:t>3.要组织有力，“三公”到位。</w:t>
      </w:r>
      <w:r>
        <w:rPr>
          <w:rFonts w:hint="eastAsia" w:ascii="Times New Roman" w:hAnsi="Times New Roman" w:eastAsia="仿宋_GB2312" w:cs="Times New Roman"/>
          <w:color w:val="000000" w:themeColor="text1"/>
          <w:sz w:val="32"/>
          <w:szCs w:val="32"/>
          <w14:textFill>
            <w14:solidFill>
              <w14:schemeClr w14:val="tx1"/>
            </w14:solidFill>
          </w14:textFill>
        </w:rPr>
        <w:t>各培养单位成立由本单位主要负责人任主任委员，研究生导师代表、研究生辅导员代表、研究生代表等任委员的研究生学业奖学金评审委员会，各培养单位评委会负责本单位研究生学业奖学金的申请组织、评审等工作。确保评定工作“三公”到位。</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outlineLvl w:val="1"/>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楷体" w:cs="Times New Roman"/>
          <w:b/>
          <w:bCs/>
          <w:color w:val="000000" w:themeColor="text1"/>
          <w:sz w:val="32"/>
          <w:szCs w:val="32"/>
          <w14:textFill>
            <w14:solidFill>
              <w14:schemeClr w14:val="tx1"/>
            </w14:solidFill>
          </w14:textFill>
        </w:rPr>
        <w:t>4.要有申诉渠道，处理到位。</w:t>
      </w:r>
      <w:r>
        <w:rPr>
          <w:rFonts w:hint="eastAsia" w:ascii="Times New Roman" w:hAnsi="Times New Roman" w:eastAsia="仿宋_GB2312" w:cs="Times New Roman"/>
          <w:color w:val="000000" w:themeColor="text1"/>
          <w:sz w:val="32"/>
          <w:szCs w:val="32"/>
          <w14:textFill>
            <w14:solidFill>
              <w14:schemeClr w14:val="tx1"/>
            </w14:solidFill>
          </w14:textFill>
        </w:rPr>
        <w:t>对学业奖学金评审结果有异议的，可在本单位公示阶段向所在单位评审委员会提出申诉，单位评审委员会应在3个工作日内予以研究并做出书面答复。如申诉人对答复仍存在异议，可在学校评定前向学校研究生学业奖学金评审工作领导小组提请裁决。</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ascii="Times New Roman" w:hAnsi="Times New Roman" w:eastAsia="仿宋_GB2312" w:cs="Times New Roman"/>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outlineLvl w:val="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党委研究生工作部</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color w:val="FF0000"/>
          <w:sz w:val="32"/>
          <w:szCs w:val="32"/>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202</w:t>
      </w:r>
      <w:r>
        <w:rPr>
          <w:rFonts w:ascii="Times New Roman" w:hAnsi="Times New Roman" w:eastAsia="仿宋_GB2312" w:cs="Times New Roman"/>
          <w:color w:val="000000" w:themeColor="text1"/>
          <w:sz w:val="32"/>
          <w:szCs w:val="32"/>
          <w14:textFill>
            <w14:solidFill>
              <w14:schemeClr w14:val="tx1"/>
            </w14:solidFill>
          </w14:textFill>
        </w:rPr>
        <w:t>4</w:t>
      </w:r>
      <w:r>
        <w:rPr>
          <w:rFonts w:hint="eastAsia" w:ascii="Times New Roman" w:hAnsi="Times New Roman" w:eastAsia="仿宋_GB2312" w:cs="Times New Roman"/>
          <w:sz w:val="32"/>
          <w:szCs w:val="32"/>
        </w:rPr>
        <w:t>年3月</w:t>
      </w:r>
      <w:r>
        <w:rPr>
          <w:rFonts w:hint="eastAsia" w:ascii="Times New Roman" w:hAnsi="Times New Roman" w:eastAsia="仿宋_GB2312" w:cs="Times New Roman"/>
          <w:sz w:val="32"/>
          <w:szCs w:val="32"/>
          <w:lang w:val="en-US" w:eastAsia="zh-CN"/>
        </w:rPr>
        <w:t>11</w:t>
      </w:r>
      <w:r>
        <w:rPr>
          <w:rFonts w:hint="eastAsia" w:ascii="Times New Roman" w:hAnsi="Times New Roman" w:eastAsia="仿宋_GB2312" w:cs="Times New Roman"/>
          <w:sz w:val="32"/>
          <w:szCs w:val="32"/>
        </w:rPr>
        <w:t>日</w:t>
      </w:r>
    </w:p>
    <w:p>
      <w:pPr>
        <w:bidi w:val="0"/>
        <w:jc w:val="left"/>
        <w:rPr>
          <w:rFonts w:hint="eastAsia" w:ascii="Calibri" w:hAnsi="Calibri" w:eastAsia="宋体" w:cs="Times New Roman"/>
          <w:kern w:val="2"/>
          <w:sz w:val="21"/>
          <w:szCs w:val="22"/>
          <w:lang w:val="en-US" w:eastAsia="zh-CN" w:bidi="ar-SA"/>
        </w:rPr>
      </w:pPr>
    </w:p>
    <w:p>
      <w:pPr>
        <w:pBdr>
          <w:top w:val="single" w:color="auto" w:sz="12" w:space="1"/>
          <w:bottom w:val="single" w:color="auto" w:sz="12" w:space="1"/>
        </w:pBdr>
        <w:ind w:right="-420" w:rightChars="-200"/>
        <w:rPr>
          <w:rFonts w:ascii="Times New Roman" w:hAnsi="Times New Roman" w:cs="Times New Roman"/>
        </w:rPr>
      </w:pPr>
      <w:r>
        <w:rPr>
          <w:rFonts w:hint="eastAsia" w:ascii="Times New Roman" w:hAnsi="Times New Roman" w:eastAsia="仿宋_GB2312" w:cs="Times New Roman"/>
          <w:color w:val="000000"/>
          <w:kern w:val="0"/>
          <w:sz w:val="32"/>
          <w:szCs w:val="32"/>
        </w:rPr>
        <w:t xml:space="preserve">南昌大学党委研究生工作部                </w:t>
      </w:r>
      <w:r>
        <w:rPr>
          <w:rFonts w:hint="eastAsia" w:ascii="Times New Roman" w:hAnsi="Times New Roman" w:eastAsia="仿宋_GB2312" w:cs="Times New Roman"/>
          <w:color w:val="FF0000"/>
          <w:kern w:val="0"/>
          <w:sz w:val="32"/>
          <w:szCs w:val="32"/>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202</w:t>
      </w:r>
      <w:r>
        <w:rPr>
          <w:rFonts w:ascii="Times New Roman" w:hAnsi="Times New Roman" w:eastAsia="仿宋_GB2312" w:cs="Times New Roman"/>
          <w:color w:val="000000" w:themeColor="text1"/>
          <w:sz w:val="32"/>
          <w:szCs w:val="32"/>
          <w14:textFill>
            <w14:solidFill>
              <w14:schemeClr w14:val="tx1"/>
            </w14:solidFill>
          </w14:textFill>
        </w:rPr>
        <w:t>4</w:t>
      </w:r>
      <w:r>
        <w:rPr>
          <w:rFonts w:hint="eastAsia" w:ascii="Times New Roman" w:hAnsi="Times New Roman" w:eastAsia="仿宋_GB2312" w:cs="Times New Roman"/>
          <w:color w:val="000000"/>
          <w:kern w:val="0"/>
          <w:sz w:val="32"/>
          <w:szCs w:val="32"/>
        </w:rPr>
        <w:t>年3月</w:t>
      </w:r>
      <w:r>
        <w:rPr>
          <w:rFonts w:hint="eastAsia" w:ascii="Times New Roman" w:hAnsi="Times New Roman" w:eastAsia="仿宋_GB2312" w:cs="Times New Roman"/>
          <w:color w:val="000000"/>
          <w:kern w:val="0"/>
          <w:sz w:val="32"/>
          <w:szCs w:val="32"/>
          <w:lang w:val="en-US" w:eastAsia="zh-CN"/>
        </w:rPr>
        <w:t>11</w:t>
      </w:r>
      <w:r>
        <w:rPr>
          <w:rFonts w:hint="eastAsia" w:ascii="Times New Roman" w:hAnsi="Times New Roman" w:eastAsia="仿宋_GB2312" w:cs="Times New Roman"/>
          <w:sz w:val="32"/>
          <w:szCs w:val="32"/>
        </w:rPr>
        <w:t>日</w:t>
      </w:r>
    </w:p>
    <w:p>
      <w:pPr>
        <w:spacing w:line="20" w:lineRule="exact"/>
        <w:rPr>
          <w:rFonts w:ascii="Times New Roman" w:hAnsi="Times New Roman" w:eastAsia="仿宋_GB2312" w:cs="Times New Roman"/>
          <w:sz w:val="32"/>
          <w:szCs w:val="32"/>
        </w:rPr>
      </w:pPr>
    </w:p>
    <w:sectPr>
      <w:footerReference r:id="rId3" w:type="default"/>
      <w:pgSz w:w="11906" w:h="16838"/>
      <w:pgMar w:top="2098" w:right="1587" w:bottom="1871"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华文仿宋"/>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lang w:val="zh-CN"/>
      </w:rPr>
      <w:t>2</w:t>
    </w:r>
    <w:r>
      <w:rPr>
        <w:rFonts w:ascii="Times New Roman" w:hAnsi="Times New Roman"/>
        <w:sz w:val="24"/>
        <w:szCs w:val="24"/>
      </w:rPr>
      <w:fldChar w:fldCharType="end"/>
    </w:r>
    <w:r>
      <w:rPr>
        <w:rFonts w:hint="eastAsia" w:ascii="Times New Roman" w:hAnsi="Times New Roman"/>
        <w:sz w:val="24"/>
        <w:szCs w:val="24"/>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jODQyMDk2ZTNkYzZiYmMxYzk3MGY1MDNiZDgwMjYifQ=="/>
  </w:docVars>
  <w:rsids>
    <w:rsidRoot w:val="00332337"/>
    <w:rsid w:val="000D5169"/>
    <w:rsid w:val="00332337"/>
    <w:rsid w:val="0047271F"/>
    <w:rsid w:val="005056DD"/>
    <w:rsid w:val="005E3DEF"/>
    <w:rsid w:val="006274E8"/>
    <w:rsid w:val="00767774"/>
    <w:rsid w:val="0082367A"/>
    <w:rsid w:val="00885B23"/>
    <w:rsid w:val="00A85F6E"/>
    <w:rsid w:val="00AD25A7"/>
    <w:rsid w:val="00B964BE"/>
    <w:rsid w:val="00DE123A"/>
    <w:rsid w:val="00E94A03"/>
    <w:rsid w:val="03A74512"/>
    <w:rsid w:val="03F62DA4"/>
    <w:rsid w:val="042711AF"/>
    <w:rsid w:val="05942874"/>
    <w:rsid w:val="077741FC"/>
    <w:rsid w:val="093B3973"/>
    <w:rsid w:val="09C474A0"/>
    <w:rsid w:val="0AC57974"/>
    <w:rsid w:val="0AF142C5"/>
    <w:rsid w:val="0FB73760"/>
    <w:rsid w:val="11280B86"/>
    <w:rsid w:val="112D2A00"/>
    <w:rsid w:val="125F14EB"/>
    <w:rsid w:val="126C1970"/>
    <w:rsid w:val="16873D30"/>
    <w:rsid w:val="17C074F9"/>
    <w:rsid w:val="17E92EF4"/>
    <w:rsid w:val="191C2E55"/>
    <w:rsid w:val="19A74FE3"/>
    <w:rsid w:val="1A82064B"/>
    <w:rsid w:val="1A947DA2"/>
    <w:rsid w:val="1B4E306E"/>
    <w:rsid w:val="1B7D2ABF"/>
    <w:rsid w:val="1BA84E74"/>
    <w:rsid w:val="1C2C7853"/>
    <w:rsid w:val="1C89778E"/>
    <w:rsid w:val="1DCB6BF8"/>
    <w:rsid w:val="1E90231B"/>
    <w:rsid w:val="1FBE628F"/>
    <w:rsid w:val="20F3093F"/>
    <w:rsid w:val="218E6CBA"/>
    <w:rsid w:val="219043E0"/>
    <w:rsid w:val="242D5F16"/>
    <w:rsid w:val="25E41A7A"/>
    <w:rsid w:val="26755A8C"/>
    <w:rsid w:val="271138CD"/>
    <w:rsid w:val="27FF406E"/>
    <w:rsid w:val="29226266"/>
    <w:rsid w:val="29363ABF"/>
    <w:rsid w:val="2B85488A"/>
    <w:rsid w:val="2BFF0CF2"/>
    <w:rsid w:val="2C97026E"/>
    <w:rsid w:val="2CB573F1"/>
    <w:rsid w:val="2F61560E"/>
    <w:rsid w:val="31540F86"/>
    <w:rsid w:val="316213EF"/>
    <w:rsid w:val="33992D68"/>
    <w:rsid w:val="37E933A5"/>
    <w:rsid w:val="3857135C"/>
    <w:rsid w:val="38CF5396"/>
    <w:rsid w:val="3A3F02FA"/>
    <w:rsid w:val="3B4F3238"/>
    <w:rsid w:val="3C1F6635"/>
    <w:rsid w:val="3ED43706"/>
    <w:rsid w:val="3F067638"/>
    <w:rsid w:val="3FA578F4"/>
    <w:rsid w:val="407D392A"/>
    <w:rsid w:val="42F60228"/>
    <w:rsid w:val="4560159C"/>
    <w:rsid w:val="45FF2878"/>
    <w:rsid w:val="46385E05"/>
    <w:rsid w:val="473D3E13"/>
    <w:rsid w:val="481D611E"/>
    <w:rsid w:val="48274431"/>
    <w:rsid w:val="49171AB3"/>
    <w:rsid w:val="4D112EB5"/>
    <w:rsid w:val="4D23576A"/>
    <w:rsid w:val="4D3014AC"/>
    <w:rsid w:val="4F857735"/>
    <w:rsid w:val="4FC41575"/>
    <w:rsid w:val="504B29FB"/>
    <w:rsid w:val="506568B4"/>
    <w:rsid w:val="5080549C"/>
    <w:rsid w:val="51DE0653"/>
    <w:rsid w:val="5222627A"/>
    <w:rsid w:val="52CE2769"/>
    <w:rsid w:val="53F45FA0"/>
    <w:rsid w:val="551B5793"/>
    <w:rsid w:val="55F66200"/>
    <w:rsid w:val="57925AB5"/>
    <w:rsid w:val="580707DB"/>
    <w:rsid w:val="58504533"/>
    <w:rsid w:val="58613E05"/>
    <w:rsid w:val="5919023C"/>
    <w:rsid w:val="598A738C"/>
    <w:rsid w:val="5A8C0EE1"/>
    <w:rsid w:val="5AD3266C"/>
    <w:rsid w:val="5B0706E5"/>
    <w:rsid w:val="5B5B2160"/>
    <w:rsid w:val="5C221D2A"/>
    <w:rsid w:val="5D99194B"/>
    <w:rsid w:val="5EC24ED2"/>
    <w:rsid w:val="5F942AD8"/>
    <w:rsid w:val="60E54F25"/>
    <w:rsid w:val="6211064A"/>
    <w:rsid w:val="623D5EFE"/>
    <w:rsid w:val="63F5029D"/>
    <w:rsid w:val="64A07A63"/>
    <w:rsid w:val="64CE3D3A"/>
    <w:rsid w:val="650E4FEA"/>
    <w:rsid w:val="65CED1FA"/>
    <w:rsid w:val="67800F09"/>
    <w:rsid w:val="6BB42046"/>
    <w:rsid w:val="6BCD5E35"/>
    <w:rsid w:val="6C1D7BEB"/>
    <w:rsid w:val="6C521230"/>
    <w:rsid w:val="6C6B6BA9"/>
    <w:rsid w:val="6CD474A4"/>
    <w:rsid w:val="6CF767CC"/>
    <w:rsid w:val="6DA93E2C"/>
    <w:rsid w:val="6E3D27C7"/>
    <w:rsid w:val="6E7B6E4B"/>
    <w:rsid w:val="6EA168B2"/>
    <w:rsid w:val="714E4D22"/>
    <w:rsid w:val="71902C0D"/>
    <w:rsid w:val="719467F8"/>
    <w:rsid w:val="728C7628"/>
    <w:rsid w:val="73870B2F"/>
    <w:rsid w:val="7513602F"/>
    <w:rsid w:val="752C0E9F"/>
    <w:rsid w:val="76D67314"/>
    <w:rsid w:val="76DF1A11"/>
    <w:rsid w:val="77B917DD"/>
    <w:rsid w:val="78154146"/>
    <w:rsid w:val="78F9378E"/>
    <w:rsid w:val="79140612"/>
    <w:rsid w:val="7C374CF9"/>
    <w:rsid w:val="7D2A660C"/>
    <w:rsid w:val="7E9E276A"/>
    <w:rsid w:val="BAFF351B"/>
    <w:rsid w:val="F5596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3"/>
    <w:autoRedefine/>
    <w:qFormat/>
    <w:uiPriority w:val="0"/>
    <w:pPr>
      <w:tabs>
        <w:tab w:val="center" w:pos="4153"/>
        <w:tab w:val="right" w:pos="8306"/>
      </w:tabs>
      <w:snapToGrid w:val="0"/>
      <w:jc w:val="left"/>
    </w:pPr>
    <w:rPr>
      <w:sz w:val="18"/>
      <w:szCs w:val="18"/>
    </w:rPr>
  </w:style>
  <w:style w:type="paragraph" w:styleId="3">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autoRedefine/>
    <w:qFormat/>
    <w:uiPriority w:val="0"/>
    <w:rPr>
      <w:rFonts w:ascii="ˎ̥" w:hAnsi="ˎ̥" w:eastAsia="仿宋_GB2312" w:cs="宋体"/>
      <w:color w:val="51585D"/>
      <w:kern w:val="0"/>
      <w:sz w:val="32"/>
      <w:szCs w:val="18"/>
    </w:rPr>
  </w:style>
  <w:style w:type="paragraph" w:customStyle="1" w:styleId="7">
    <w:name w:val="D表内1磅"/>
    <w:basedOn w:val="8"/>
    <w:autoRedefine/>
    <w:qFormat/>
    <w:uiPriority w:val="0"/>
    <w:pPr>
      <w:spacing w:before="20" w:after="20"/>
    </w:pPr>
  </w:style>
  <w:style w:type="paragraph" w:customStyle="1" w:styleId="8">
    <w:name w:val="D表内0磅"/>
    <w:basedOn w:val="9"/>
    <w:autoRedefine/>
    <w:semiHidden/>
    <w:qFormat/>
    <w:uiPriority w:val="0"/>
    <w:pPr>
      <w:spacing w:before="0" w:after="0"/>
    </w:pPr>
  </w:style>
  <w:style w:type="paragraph" w:customStyle="1" w:styleId="9">
    <w:name w:val="D表内"/>
    <w:basedOn w:val="10"/>
    <w:autoRedefine/>
    <w:semiHidden/>
    <w:qFormat/>
    <w:uiPriority w:val="0"/>
    <w:pPr>
      <w:spacing w:before="40" w:after="40"/>
    </w:pPr>
  </w:style>
  <w:style w:type="paragraph" w:customStyle="1" w:styleId="10">
    <w:name w:val="图表"/>
    <w:basedOn w:val="1"/>
    <w:autoRedefine/>
    <w:semiHidden/>
    <w:qFormat/>
    <w:uiPriority w:val="0"/>
    <w:pPr>
      <w:spacing w:before="120" w:after="120"/>
      <w:jc w:val="center"/>
    </w:pPr>
    <w:rPr>
      <w:rFonts w:ascii="Times New Roman" w:hAnsi="Times New Roman"/>
      <w:szCs w:val="21"/>
    </w:rPr>
  </w:style>
  <w:style w:type="character" w:customStyle="1" w:styleId="11">
    <w:name w:val="NormalCharacter"/>
    <w:autoRedefine/>
    <w:qFormat/>
    <w:uiPriority w:val="0"/>
    <w:rPr>
      <w:rFonts w:ascii="Calibri" w:hAnsi="Calibri" w:eastAsia="宋体" w:cs="Times New Roman"/>
      <w:kern w:val="2"/>
      <w:sz w:val="21"/>
      <w:szCs w:val="22"/>
      <w:lang w:val="en-US" w:eastAsia="zh-CN" w:bidi="ar-SA"/>
    </w:rPr>
  </w:style>
  <w:style w:type="character" w:customStyle="1" w:styleId="12">
    <w:name w:val="页眉 字符"/>
    <w:basedOn w:val="5"/>
    <w:link w:val="3"/>
    <w:autoRedefine/>
    <w:qFormat/>
    <w:uiPriority w:val="0"/>
    <w:rPr>
      <w:rFonts w:ascii="Calibri" w:hAnsi="Calibri" w:eastAsia="宋体" w:cs="Times New Roman"/>
      <w:kern w:val="2"/>
      <w:sz w:val="18"/>
      <w:szCs w:val="18"/>
    </w:rPr>
  </w:style>
  <w:style w:type="character" w:customStyle="1" w:styleId="13">
    <w:name w:val="页脚 字符"/>
    <w:basedOn w:val="5"/>
    <w:link w:val="2"/>
    <w:autoRedefine/>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338</Words>
  <Characters>1928</Characters>
  <Lines>16</Lines>
  <Paragraphs>4</Paragraphs>
  <TotalTime>25</TotalTime>
  <ScaleCrop>false</ScaleCrop>
  <LinksUpToDate>false</LinksUpToDate>
  <CharactersWithSpaces>2262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408408</dc:creator>
  <cp:lastModifiedBy>沁璟</cp:lastModifiedBy>
  <cp:lastPrinted>2022-03-10T18:23:00Z</cp:lastPrinted>
  <dcterms:modified xsi:type="dcterms:W3CDTF">2024-03-11T08:12:42Z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64AB12C57848413897A7AB1093A6EF73</vt:lpwstr>
  </property>
</Properties>
</file>