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宋体"/>
          <w:color w:val="FF0000"/>
          <w:w w:val="80"/>
          <w:sz w:val="84"/>
          <w:szCs w:val="84"/>
        </w:rPr>
      </w:pPr>
      <w:bookmarkStart w:id="0" w:name="_Hlk107482225"/>
      <w:r>
        <w:rPr>
          <w:rFonts w:hint="eastAsia" w:ascii="Times New Roman" w:hAnsi="Times New Roman" w:eastAsia="宋体" w:cs="宋体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rFonts w:ascii="Times New Roman" w:hAnsi="Times New Roman" w:eastAsia="等线" w:cs="Times New Roman"/>
          <w:color w:val="000000"/>
          <w:sz w:val="28"/>
          <w:szCs w:val="22"/>
        </w:rPr>
      </w:pPr>
      <w:r>
        <w:rPr>
          <w:rFonts w:ascii="Times New Roman" w:hAnsi="Times New Roman" w:eastAsia="等线" w:cs="Times New Roman"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1312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r7pW1gAAAAYBAAAPAAAAAAAAAAEAIAAAACIAAABkcnMvZG93bnJl&#10;di54bWxQSwECFAAUAAAACACHTuJAvG659f8BAADzAwAADgAAAAAAAAABACAAAAAlAQAAZHJzL2Uy&#10;b0RvYy54bWxQSwUGAAAAAAYABgBZAQAAl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等线" w:cs="Times New Roman"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Vb1i9MAAAAGAQAADwAAAAAAAAABACAAAAAiAAAAZHJzL2Rvd25yZXYu&#10;eG1sUEsBAhQAFAAAAAgAh07iQPCmWxUAAgAA9QMAAA4AAAAAAAAAAQAgAAAAIgEAAGRycy9lMm9E&#10;b2MueG1sUEsFBgAAAAAGAAYAWQEAAJQ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jc w:val="right"/>
        <w:rPr>
          <w:rFonts w:ascii="Times New Roman" w:hAnsi="Times New Roman" w:eastAsia="宋体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南大研工函〔2024〕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关于开展南昌大学第四届“香樟青研说”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主题宣讲大赛的通知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各研究生培养单位：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学习宣传贯彻党的二十大精神，进一步落实习近平总书记考察江西重要讲话精神，展现南昌大学研究生昂扬向上、踔厉奋发的精神面貌和奋进新征程、建功新时代的坚定信念，党委研究生工作部决定开展第四届“香樟青研说”主题宣讲大赛，现将相关事宜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一、活动主题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奋进新征程 扬帆再出发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党委研究生工作部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南昌大学研究生会、南昌大学“香樟博声”宣讲团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全体在籍研究生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、大赛阶段及奖项设置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本次大赛共分为初赛、复赛、决赛三个阶段。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（一）初赛阶段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1.第一阶段初赛，比赛形式为提交电子参赛材料，各培养单位根据参赛要求（附件1）自行组织报名并推选参赛队伍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，主办单位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将根据报送材料进行评分。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2.各单位推荐的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作品请统一汇总打包，于3月1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中午12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:00</w:t>
      </w:r>
      <w:r>
        <w:fldChar w:fldCharType="begin"/>
      </w:r>
      <w:r>
        <w:instrText xml:space="preserve"> HYPERLINK "mailto:00前报送至邮箱ncuxcyjs@163.com。" </w:instrText>
      </w:r>
      <w:r>
        <w:fldChar w:fldCharType="separate"/>
      </w:r>
      <w:r>
        <w:rPr>
          <w:rStyle w:val="13"/>
          <w:rFonts w:ascii="Times New Roman" w:hAnsi="Times New Roman" w:eastAsia="仿宋_GB2312" w:cs="Times New Roman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前</w:t>
      </w:r>
      <w:r>
        <w:rPr>
          <w:rStyle w:val="13"/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报送</w:t>
      </w:r>
      <w:r>
        <w:rPr>
          <w:rStyle w:val="13"/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至</w:t>
      </w:r>
      <w:r>
        <w:rPr>
          <w:rStyle w:val="13"/>
          <w:rFonts w:ascii="Times New Roman" w:hAnsi="Times New Roman" w:eastAsia="仿宋_GB2312" w:cs="Times New Roman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邮箱</w:t>
      </w:r>
      <w:r>
        <w:rPr>
          <w:rStyle w:val="13"/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Style w:val="13"/>
          <w:rFonts w:ascii="Times New Roman" w:hAnsi="Times New Roman" w:eastAsia="仿宋_GB2312" w:cs="Times New Roman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meibohan@ncu.edu.cn</w:t>
      </w:r>
      <w:r>
        <w:rPr>
          <w:rStyle w:val="13"/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Style w:val="13"/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邮件命名为：单位序号＋单位名称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香樟青研说比赛材料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（例：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人文学院香樟青研说比赛材料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3.参赛作品材料包括：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（均须提供word版及盖章扫描pdf版）、参赛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讲稿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、参赛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PPT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等电子材料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参赛作品内容须隐去个人信息。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4.初赛评分侧重于主旨、立意和宣讲逻辑。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（二）复赛阶段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第二阶段复赛，比赛形式为提交宣讲视频，参赛者可结合PPT进行主题演讲、情景剧、说课的形式开展（具体要求另行通知）。主题内容与初赛一致，每位参赛者限时不超过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分钟，由主办单位根据视频展现效果进行综合打分，复赛评分侧重于内容丰富、形式新颖、表达流畅连贯。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（三）决赛阶段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第三阶段决赛，比赛形式为现场展演，可引入一定助演、助教、情景展现等元素（具体要求和形式另行通知）。主题内容需在复赛基础上发挥创新，可以结合所学专业学科，形成个人亮点、特色，展演限时不超过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分钟，由评委现场进行综合打分。决赛评分标准与初赛复赛标准一致，同时侧重于体现团队的协作与配合。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比赛设置一等奖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、二等奖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、三等奖6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、优秀奖若干，优秀组织单位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此外，在大赛过程中表现优异的团队：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1.获得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优先推荐参加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挑战杯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红色专项赛事或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红色走读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赛事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由学校组织进行线上微课视频录制并进行平台宣发；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3.成员优先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吸纳进入南昌大学“香樟博声”宣讲团；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4.作为培养单位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优秀组织单位的重要参考标准。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1.高度重视，积极参与。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各培养单位要深入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学习宣传贯彻党的二十大精神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和习近平总书记考察江西重要讲话精神，准确把握“走在前、勇争先、善作为”目标要求的丰富内涵，积极宣传、广泛动员研究生报名参赛。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2.精心组织，提供保障。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各培养单位要在规定时间内做好赛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事组织和作品征集，按参赛作品指标分配表（附件</w:t>
      </w:r>
      <w:r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）要求推报优秀作品参赛，同时匹配指导老师进行针对性培训。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3.严格把关，认真审核。</w:t>
      </w:r>
      <w:r>
        <w:rPr>
          <w:rFonts w:hint="eastAsia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各培养单位要按照赛事要求的内容、形式、格式等按时报送参赛作品及相关材料，要确保推荐作品填报信息准确无误，推荐作品的参赛者姓名、指导教师姓名等信息一经上报，不予更改。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有意参赛者可加入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微信群</w:t>
      </w: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58420</wp:posOffset>
            </wp:positionV>
            <wp:extent cx="1908175" cy="1941195"/>
            <wp:effectExtent l="0" t="0" r="15875" b="1905"/>
            <wp:wrapTopAndBottom/>
            <wp:docPr id="3" name="图片 3" descr="D:/南昌大学/01工作/01研工部/2024研工部/1.2 研究生团委/0302 香樟青研说/咨询群二维码.jpg咨询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南昌大学/01工作/01研工部/2024研工部/1.2 研究生团委/0302 香樟青研说/咨询群二维码.jpg咨询群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1341" r="1341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bidi="ar"/>
        </w:rPr>
        <w:t>（微信群二维码）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梅博晗0791-83968149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阎  宇18296178526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ascii="Times New Roman" w:hAnsi="Times New Roman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参赛要求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主题宣讲大赛报名表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主题宣讲大赛推荐汇总表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各培养单位参赛作品指标分配表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党委研究生工作部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一、选题要求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1</w:t>
      </w:r>
      <w:r>
        <w:rPr>
          <w:rFonts w:cs="仿宋_GB2312"/>
          <w:sz w:val="32"/>
          <w:szCs w:val="32"/>
        </w:rPr>
        <w:t>.不限制题材，可结合学科发展、专业领域的生动事迹进行宣讲创作</w:t>
      </w:r>
      <w:r>
        <w:rPr>
          <w:rFonts w:hint="eastAsia" w:cs="仿宋_GB2312"/>
          <w:sz w:val="32"/>
          <w:szCs w:val="32"/>
        </w:rPr>
        <w:t>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</w:rPr>
        <w:t>2</w:t>
      </w:r>
      <w:r>
        <w:rPr>
          <w:rFonts w:cs="仿宋_GB2312"/>
          <w:sz w:val="32"/>
          <w:szCs w:val="32"/>
        </w:rPr>
        <w:t>.</w:t>
      </w:r>
      <w:r>
        <w:rPr>
          <w:rFonts w:hint="eastAsia" w:cs="仿宋_GB2312"/>
          <w:sz w:val="32"/>
          <w:szCs w:val="32"/>
        </w:rPr>
        <w:t>贴近青年学生，进行青年化阐释，分享心得体会、事迹或故事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</w:rPr>
        <w:t>让青年有“共鸣”能“共情”</w:t>
      </w:r>
    </w:p>
    <w:tbl>
      <w:tblPr>
        <w:tblStyle w:val="11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eastAsia="黑体" w:cs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选题方向</w:t>
            </w:r>
          </w:p>
        </w:tc>
        <w:tc>
          <w:tcPr>
            <w:tcW w:w="7338" w:type="dxa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/>
              <w:jc w:val="center"/>
              <w:textAlignment w:val="auto"/>
              <w:rPr>
                <w:rFonts w:eastAsia="黑体" w:cs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内容要求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感悟思想伟力</w:t>
            </w:r>
          </w:p>
        </w:tc>
        <w:tc>
          <w:tcPr>
            <w:tcW w:w="733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展现研究生贯彻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习近平新时代中国特色社会主义思想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的丰富内涵、精神实质和实践要求的思想动态，特别是结合日常学习、生活，谈谈对习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近平总书记考察江西重要讲话精神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的想法、体会。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国家战略</w:t>
            </w:r>
          </w:p>
        </w:tc>
        <w:tc>
          <w:tcPr>
            <w:tcW w:w="733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展现研究生投身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教育科技人才“三位一体”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战略部署的具体行动，阐述“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研究生是中国式现代化科研的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力量支柱和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新质生产力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的人才主体”的理解和应用。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描绘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江西篇章</w:t>
            </w:r>
          </w:p>
        </w:tc>
        <w:tc>
          <w:tcPr>
            <w:tcW w:w="733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展现研究生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以习近平总书记考察江西重要讲话精神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为指引，结合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江西特色优势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建设“三大高地”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“五大战略”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相关目标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谈谈以所学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投身中国式现代化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江西篇章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的现实行动。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弘扬大学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精神</w:t>
            </w:r>
          </w:p>
        </w:tc>
        <w:tc>
          <w:tcPr>
            <w:tcW w:w="733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展现研究生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聚焦“走在前、勇争先、善作为”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目标要求，结合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南昌大学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“新征程、再出发”使命愿景大讨论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发扬“爱国、自强、创新、唯实”的大学精神，体现学生爱校荣校的饱满热情。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讲好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党史故事</w:t>
            </w:r>
          </w:p>
        </w:tc>
        <w:tc>
          <w:tcPr>
            <w:tcW w:w="733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展现研究生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讲好党的故事、革命的故事、英雄的故事，传承红色基因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展示党的奋斗历程与伟大成就，担好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学史明理、学史增信、学史崇德、学史力行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的历史使命。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发掘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身边榜样</w:t>
            </w:r>
          </w:p>
        </w:tc>
        <w:tc>
          <w:tcPr>
            <w:tcW w:w="733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展现研究生身边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先进典型的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积极故事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；红色沃土里的感人故事；乡村振兴中的动人故事；科研道路上的育人故事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不断营造汲取榜样力量，争当先锋楷模的进取氛围。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宣讲大赛鼓励以团队形式参赛。可以采取课堂教学、演说演讲、案例讲解、人物访谈、事迹分享、视频展示、情景剧等方式进行。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内容及形式要求。结合各培养单位实际，深入学习宣传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贯彻党的二十大精神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习近平总书记考察江西重要讲话精神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作品创作坚持以习近平新时代中国特色社会主义思想为指导，充分发掘中华优秀传统文化、革命文化、社会主义先进文化中的时代元素，传递社会正能量，遵循党的路线、方针、政策和国家法律法规要求；内容科学准确、结构完整、逻辑清晰、语言规范；展现形式类型不限，突出重点、通俗易懂，鼓励创新，与时俱进；参赛者应对参赛作品内容的合法性、真实性与科学性负责，推荐单位应对稿件进行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1928" w:right="1531" w:bottom="181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知识产权要求。内容及主要素材须为原创，不得侵犯任何第三方权利，如发生知识产权法律纠纷，由参赛者自行负责，同时取消参赛资格。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主题宣讲大赛报名表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356"/>
        <w:gridCol w:w="1566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作品名称</w:t>
            </w:r>
          </w:p>
        </w:tc>
        <w:tc>
          <w:tcPr>
            <w:tcW w:w="396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所在单位</w:t>
            </w:r>
          </w:p>
        </w:tc>
        <w:tc>
          <w:tcPr>
            <w:tcW w:w="130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选题方向</w:t>
            </w:r>
          </w:p>
        </w:tc>
        <w:tc>
          <w:tcPr>
            <w:tcW w:w="17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指导老师</w:t>
            </w:r>
          </w:p>
        </w:tc>
        <w:tc>
          <w:tcPr>
            <w:tcW w:w="130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联系方式</w:t>
            </w:r>
          </w:p>
        </w:tc>
        <w:tc>
          <w:tcPr>
            <w:tcW w:w="17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队长</w:t>
            </w:r>
          </w:p>
        </w:tc>
        <w:tc>
          <w:tcPr>
            <w:tcW w:w="130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联系方式</w:t>
            </w:r>
          </w:p>
        </w:tc>
        <w:tc>
          <w:tcPr>
            <w:tcW w:w="17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队伍成员</w:t>
            </w:r>
          </w:p>
        </w:tc>
        <w:tc>
          <w:tcPr>
            <w:tcW w:w="396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FF"/>
                <w:sz w:val="24"/>
              </w:rPr>
              <w:t>（队伍成员含队长至多7位，以情景剧形式参赛至多10人）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主题立意</w:t>
            </w:r>
          </w:p>
        </w:tc>
        <w:tc>
          <w:tcPr>
            <w:tcW w:w="396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宣讲稿件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简介</w:t>
            </w:r>
          </w:p>
        </w:tc>
        <w:tc>
          <w:tcPr>
            <w:tcW w:w="3961" w:type="pct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仿宋_GB2312"/>
                <w:color w:val="0000FF"/>
                <w:sz w:val="24"/>
              </w:rPr>
              <w:t>（仿宋小四28磅行距填写，200字以内，本表可加页）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03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意见</w:t>
            </w:r>
          </w:p>
        </w:tc>
        <w:tc>
          <w:tcPr>
            <w:tcW w:w="3961" w:type="pct"/>
            <w:gridSpan w:val="3"/>
            <w:vAlign w:val="center"/>
          </w:tcPr>
          <w:p>
            <w:pPr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ind w:right="630" w:rightChars="300"/>
              <w:jc w:val="righ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（盖  章）</w:t>
            </w:r>
          </w:p>
          <w:p>
            <w:pPr>
              <w:spacing w:line="400" w:lineRule="exact"/>
              <w:ind w:right="420" w:rightChars="20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038" w:type="pc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诚信承诺</w:t>
            </w:r>
          </w:p>
        </w:tc>
        <w:tc>
          <w:tcPr>
            <w:tcW w:w="3961" w:type="pct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本人/团队保证提交的所有信息与材料均真实、准确、合法及有效，并保证参赛作品的原创性，且符合主流价值观，出现一切后果由本人/团队承担。无条件同意主办方对所提供的信息与材料进行核实，并提供必要的协助。如本人/团队违反了以上承诺，组委会有权取消本人/团队的参赛资格或撤销已授予的相关奖项。</w:t>
            </w: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ind w:right="1470" w:rightChars="70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指导老师签名：</w:t>
            </w:r>
          </w:p>
        </w:tc>
      </w:tr>
    </w:tbl>
    <w:p>
      <w:pPr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注：</w:t>
      </w:r>
      <w:r>
        <w:rPr>
          <w:rFonts w:hint="eastAsia" w:ascii="Times New Roman" w:hAnsi="Times New Roman" w:eastAsia="楷体" w:cs="Times New Roman"/>
        </w:rPr>
        <w:t>1.</w:t>
      </w:r>
      <w:r>
        <w:rPr>
          <w:rFonts w:hint="eastAsia" w:ascii="Times New Roman" w:hAnsi="Times New Roman" w:eastAsia="楷体" w:cs="楷体"/>
        </w:rPr>
        <w:t>此表正反面打印；</w:t>
      </w:r>
    </w:p>
    <w:p>
      <w:pPr>
        <w:ind w:firstLine="420" w:firstLineChars="200"/>
        <w:rPr>
          <w:rFonts w:ascii="Times New Roman" w:hAnsi="Times New Roman" w:eastAsia="楷体" w:cs="楷体"/>
        </w:rPr>
        <w:sectPr>
          <w:pgSz w:w="11906" w:h="16838"/>
          <w:pgMar w:top="1928" w:right="1531" w:bottom="1814" w:left="1531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" w:cs="Times New Roman"/>
        </w:rPr>
        <w:t>2.</w:t>
      </w:r>
      <w:r>
        <w:rPr>
          <w:rFonts w:hint="eastAsia" w:ascii="Times New Roman" w:hAnsi="Times New Roman" w:eastAsia="楷体" w:cs="楷体"/>
        </w:rPr>
        <w:t>鼓励跨学院组队，由队长所属单位负责推荐。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主题宣讲大赛推荐汇总表</w:t>
      </w:r>
    </w:p>
    <w:p>
      <w:pPr>
        <w:ind w:firstLine="1120" w:firstLineChars="400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单位（签章）：              申报负责人：         联系电话：                 年  月  日</w:t>
      </w:r>
    </w:p>
    <w:tbl>
      <w:tblPr>
        <w:tblStyle w:val="11"/>
        <w:tblW w:w="15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835"/>
        <w:gridCol w:w="2760"/>
        <w:gridCol w:w="2215"/>
        <w:gridCol w:w="2167"/>
        <w:gridCol w:w="2168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选题方向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指导老师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（联系方式）</w:t>
            </w: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队长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（联系方式）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队伍成员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>
      <w:pPr>
        <w:pStyle w:val="14"/>
        <w:ind w:firstLine="0" w:firstLineChars="0"/>
      </w:pPr>
    </w:p>
    <w:p>
      <w:pPr>
        <w:pStyle w:val="14"/>
        <w:ind w:firstLine="0" w:firstLineChars="0"/>
        <w:sectPr>
          <w:pgSz w:w="16838" w:h="11906" w:orient="landscape"/>
          <w:pgMar w:top="1803" w:right="1134" w:bottom="1803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各培养单位参赛作品指标分配表</w:t>
      </w:r>
    </w:p>
    <w:tbl>
      <w:tblPr>
        <w:tblStyle w:val="10"/>
        <w:tblW w:w="8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384"/>
        <w:gridCol w:w="3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参赛名额（不少于）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人文学院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新闻与传播学院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外国语学院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艺术学院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法学院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公共政策与管理学院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马克思主义学院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经济管理学院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旅游学院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体育学院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教育发展研究院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物理与材料学院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数学与计算机学院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化学与化工学院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先进制造学院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信息工程学院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软件学院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食品学院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生命科学学院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资源与环境学院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工程建设学院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建筑与设计学院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基础医学院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公共卫生学院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药学院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护理学院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第一临床医学院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第二临床医学院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第三临床医学院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第四临床医学院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口腔医学院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眼视光学院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儿科医学院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附属人民医院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附属妇幼保健院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附属肿瘤医院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附属胸科医院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转化医学研究院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</w:tr>
    </w:tbl>
    <w:tbl>
      <w:tblPr>
        <w:tblStyle w:val="10"/>
        <w:tblpPr w:leftFromText="180" w:rightFromText="180" w:vertAnchor="text" w:horzAnchor="page" w:tblpXSpec="center" w:tblpY="2561"/>
        <w:tblW w:w="0" w:type="auto"/>
        <w:jc w:val="center"/>
        <w:tblBorders>
          <w:top w:val="single" w:color="auto" w:sz="12" w:space="0"/>
          <w:left w:val="none" w:color="auto" w:sz="6" w:space="0"/>
          <w:bottom w:val="single" w:color="auto" w:sz="12" w:space="0"/>
          <w:right w:val="none" w:color="auto" w:sz="6" w:space="0"/>
          <w:insideH w:val="single" w:color="auto" w:sz="4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69"/>
      </w:tblGrid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25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left="210" w:leftChars="100"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南昌大学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党委研究生工作部</w:t>
            </w:r>
          </w:p>
        </w:tc>
        <w:tc>
          <w:tcPr>
            <w:tcW w:w="426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240" w:lineRule="auto"/>
              <w:ind w:right="210" w:rightChars="100"/>
              <w:jc w:val="righ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日印发</w:t>
            </w:r>
          </w:p>
        </w:tc>
      </w:tr>
    </w:tbl>
    <w:p>
      <w:pPr>
        <w:pStyle w:val="14"/>
        <w:ind w:firstLine="0" w:firstLineChars="0"/>
      </w:pPr>
    </w:p>
    <w:p>
      <w:pPr>
        <w:pStyle w:val="14"/>
        <w:ind w:firstLine="0" w:firstLineChars="0"/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EBFC83-74F8-4B06-BECC-EB9763C78C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C14F01-2769-43FD-B0D9-416018A14C29}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6BDAC55-7824-41F9-8A1C-0C107D0E6C7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E0B29C9-E53C-45CD-A12E-DBE4090B11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BB899EF-EAD0-49F8-BA4C-CC08A6629C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BD6E848-701C-4356-A3A0-BB4C4FB92A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420" w:leftChars="200" w:right="420" w:rightChars="2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420" w:leftChars="200" w:right="420" w:rightChars="2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lNzZlM2EyMDkxNWFlNTg4ODg1MzkzNmE2MjdiNmMifQ=="/>
    <w:docVar w:name="KSO_WPS_MARK_KEY" w:val="c38169fc-ed13-44f5-beef-d5a9b6a0d4c1"/>
  </w:docVars>
  <w:rsids>
    <w:rsidRoot w:val="7F86271C"/>
    <w:rsid w:val="00577A32"/>
    <w:rsid w:val="005C2678"/>
    <w:rsid w:val="00893249"/>
    <w:rsid w:val="00976AA1"/>
    <w:rsid w:val="00C26B94"/>
    <w:rsid w:val="00D77D91"/>
    <w:rsid w:val="010F1DA1"/>
    <w:rsid w:val="014063FE"/>
    <w:rsid w:val="02117D9A"/>
    <w:rsid w:val="02C76D27"/>
    <w:rsid w:val="02D304D2"/>
    <w:rsid w:val="03655CA8"/>
    <w:rsid w:val="036D5065"/>
    <w:rsid w:val="03EC63C9"/>
    <w:rsid w:val="03F4702C"/>
    <w:rsid w:val="04161698"/>
    <w:rsid w:val="04253689"/>
    <w:rsid w:val="04F96FF0"/>
    <w:rsid w:val="05145BD8"/>
    <w:rsid w:val="051D679D"/>
    <w:rsid w:val="05564431"/>
    <w:rsid w:val="059565ED"/>
    <w:rsid w:val="05D9472B"/>
    <w:rsid w:val="06173888"/>
    <w:rsid w:val="06BC6527"/>
    <w:rsid w:val="06C777BD"/>
    <w:rsid w:val="07632E46"/>
    <w:rsid w:val="07634B0B"/>
    <w:rsid w:val="07723089"/>
    <w:rsid w:val="07E04497"/>
    <w:rsid w:val="07FD7D85"/>
    <w:rsid w:val="08240515"/>
    <w:rsid w:val="084D31AF"/>
    <w:rsid w:val="095A5B83"/>
    <w:rsid w:val="09815806"/>
    <w:rsid w:val="0A4D4223"/>
    <w:rsid w:val="0ACD34EB"/>
    <w:rsid w:val="0AFB5144"/>
    <w:rsid w:val="0B1E0D04"/>
    <w:rsid w:val="0B615182"/>
    <w:rsid w:val="0B690F28"/>
    <w:rsid w:val="0B9335CE"/>
    <w:rsid w:val="0B9F3D21"/>
    <w:rsid w:val="0C3E4775"/>
    <w:rsid w:val="0C45067E"/>
    <w:rsid w:val="0CE42333"/>
    <w:rsid w:val="0DFA511F"/>
    <w:rsid w:val="0E012A71"/>
    <w:rsid w:val="0F5F3EF3"/>
    <w:rsid w:val="0F6239E3"/>
    <w:rsid w:val="0F9369AF"/>
    <w:rsid w:val="1066305F"/>
    <w:rsid w:val="10816CAC"/>
    <w:rsid w:val="11270A41"/>
    <w:rsid w:val="120E7E53"/>
    <w:rsid w:val="121B46CB"/>
    <w:rsid w:val="122D6FB1"/>
    <w:rsid w:val="124D191A"/>
    <w:rsid w:val="124E66A8"/>
    <w:rsid w:val="129973FF"/>
    <w:rsid w:val="12A61E39"/>
    <w:rsid w:val="12CB26E0"/>
    <w:rsid w:val="12EE1697"/>
    <w:rsid w:val="13456871"/>
    <w:rsid w:val="138A5FE6"/>
    <w:rsid w:val="138F0872"/>
    <w:rsid w:val="13B62550"/>
    <w:rsid w:val="13C54541"/>
    <w:rsid w:val="13CA1B57"/>
    <w:rsid w:val="146124BC"/>
    <w:rsid w:val="150F0169"/>
    <w:rsid w:val="153E45AB"/>
    <w:rsid w:val="156100F4"/>
    <w:rsid w:val="159F55CD"/>
    <w:rsid w:val="162A4C50"/>
    <w:rsid w:val="164E1720"/>
    <w:rsid w:val="16AC5EC2"/>
    <w:rsid w:val="16F0332F"/>
    <w:rsid w:val="17295777"/>
    <w:rsid w:val="17364CB6"/>
    <w:rsid w:val="177C689C"/>
    <w:rsid w:val="17B256D4"/>
    <w:rsid w:val="17F43647"/>
    <w:rsid w:val="185D708E"/>
    <w:rsid w:val="189D1475"/>
    <w:rsid w:val="19094ED0"/>
    <w:rsid w:val="193A32DB"/>
    <w:rsid w:val="1A3F329F"/>
    <w:rsid w:val="1A882488"/>
    <w:rsid w:val="1B9C64CF"/>
    <w:rsid w:val="1BC00771"/>
    <w:rsid w:val="1BEA723A"/>
    <w:rsid w:val="1C580648"/>
    <w:rsid w:val="1C59328D"/>
    <w:rsid w:val="1C5E227A"/>
    <w:rsid w:val="1CF5235C"/>
    <w:rsid w:val="1DA35BF9"/>
    <w:rsid w:val="1DE228BA"/>
    <w:rsid w:val="1E182E21"/>
    <w:rsid w:val="1E2F362A"/>
    <w:rsid w:val="1E4A2212"/>
    <w:rsid w:val="1E4A4839"/>
    <w:rsid w:val="1E591216"/>
    <w:rsid w:val="1F212F73"/>
    <w:rsid w:val="1F822857"/>
    <w:rsid w:val="1FA12306"/>
    <w:rsid w:val="1FB630C3"/>
    <w:rsid w:val="1FE64545"/>
    <w:rsid w:val="20124FB2"/>
    <w:rsid w:val="202251F5"/>
    <w:rsid w:val="20377441"/>
    <w:rsid w:val="20745325"/>
    <w:rsid w:val="209C2837"/>
    <w:rsid w:val="210466A8"/>
    <w:rsid w:val="217A2E0F"/>
    <w:rsid w:val="218872DA"/>
    <w:rsid w:val="21B85AF9"/>
    <w:rsid w:val="220B7F0B"/>
    <w:rsid w:val="229A7FD8"/>
    <w:rsid w:val="22B86BD6"/>
    <w:rsid w:val="23582CDC"/>
    <w:rsid w:val="24474FE4"/>
    <w:rsid w:val="248A3369"/>
    <w:rsid w:val="24BC54EC"/>
    <w:rsid w:val="25A927BB"/>
    <w:rsid w:val="25C40AFC"/>
    <w:rsid w:val="26062EC3"/>
    <w:rsid w:val="262D2207"/>
    <w:rsid w:val="264D337E"/>
    <w:rsid w:val="278424EF"/>
    <w:rsid w:val="27DC212D"/>
    <w:rsid w:val="27EE00B2"/>
    <w:rsid w:val="28810F26"/>
    <w:rsid w:val="28CB1816"/>
    <w:rsid w:val="292F44DF"/>
    <w:rsid w:val="2A5002AB"/>
    <w:rsid w:val="2A727105"/>
    <w:rsid w:val="2A7A79DB"/>
    <w:rsid w:val="2A964D47"/>
    <w:rsid w:val="2A9E122B"/>
    <w:rsid w:val="2AF62BC5"/>
    <w:rsid w:val="2B2B2529"/>
    <w:rsid w:val="2B792014"/>
    <w:rsid w:val="2B7A3236"/>
    <w:rsid w:val="2BDB2782"/>
    <w:rsid w:val="2C300CD1"/>
    <w:rsid w:val="2C5524AE"/>
    <w:rsid w:val="2C8F11BE"/>
    <w:rsid w:val="2D364384"/>
    <w:rsid w:val="2D515838"/>
    <w:rsid w:val="2D727090"/>
    <w:rsid w:val="2DD13DB6"/>
    <w:rsid w:val="2EA84D9A"/>
    <w:rsid w:val="2EAB2859"/>
    <w:rsid w:val="2EB77450"/>
    <w:rsid w:val="2F051C46"/>
    <w:rsid w:val="2F5052F6"/>
    <w:rsid w:val="2F6B1FE9"/>
    <w:rsid w:val="2FA16C6A"/>
    <w:rsid w:val="2FDD4C94"/>
    <w:rsid w:val="30193C5C"/>
    <w:rsid w:val="30D21697"/>
    <w:rsid w:val="314423A4"/>
    <w:rsid w:val="31677002"/>
    <w:rsid w:val="319C46DB"/>
    <w:rsid w:val="31A35A6A"/>
    <w:rsid w:val="320026C4"/>
    <w:rsid w:val="322272D6"/>
    <w:rsid w:val="323D4DDE"/>
    <w:rsid w:val="329847CA"/>
    <w:rsid w:val="32E20B08"/>
    <w:rsid w:val="330469DC"/>
    <w:rsid w:val="331F746E"/>
    <w:rsid w:val="3369683F"/>
    <w:rsid w:val="33C4712A"/>
    <w:rsid w:val="34735AF2"/>
    <w:rsid w:val="34C277A8"/>
    <w:rsid w:val="353D7F83"/>
    <w:rsid w:val="35D501BC"/>
    <w:rsid w:val="35D802EA"/>
    <w:rsid w:val="362D7FF8"/>
    <w:rsid w:val="36734327"/>
    <w:rsid w:val="38224A2F"/>
    <w:rsid w:val="38814CC9"/>
    <w:rsid w:val="38A7195D"/>
    <w:rsid w:val="38D24458"/>
    <w:rsid w:val="39673821"/>
    <w:rsid w:val="396954A1"/>
    <w:rsid w:val="3995038E"/>
    <w:rsid w:val="39987279"/>
    <w:rsid w:val="39F07CBA"/>
    <w:rsid w:val="39FC21BB"/>
    <w:rsid w:val="3A4836B0"/>
    <w:rsid w:val="3AB74334"/>
    <w:rsid w:val="3AFC2753"/>
    <w:rsid w:val="3AFE1F63"/>
    <w:rsid w:val="3B0E664A"/>
    <w:rsid w:val="3B7A3CDF"/>
    <w:rsid w:val="3C3B48FC"/>
    <w:rsid w:val="3CE31410"/>
    <w:rsid w:val="3D6C38DF"/>
    <w:rsid w:val="3D9A6B04"/>
    <w:rsid w:val="3DDC47DD"/>
    <w:rsid w:val="3E2E2B5F"/>
    <w:rsid w:val="3E970704"/>
    <w:rsid w:val="3EAE5A4E"/>
    <w:rsid w:val="3F64142D"/>
    <w:rsid w:val="3FC512A1"/>
    <w:rsid w:val="404C5166"/>
    <w:rsid w:val="40580367"/>
    <w:rsid w:val="406867FC"/>
    <w:rsid w:val="408E688B"/>
    <w:rsid w:val="40A95282"/>
    <w:rsid w:val="40C62EBB"/>
    <w:rsid w:val="4250579A"/>
    <w:rsid w:val="42C85330"/>
    <w:rsid w:val="42D27F5D"/>
    <w:rsid w:val="431C742A"/>
    <w:rsid w:val="435E7A42"/>
    <w:rsid w:val="43AA7F17"/>
    <w:rsid w:val="446C003D"/>
    <w:rsid w:val="44A6695C"/>
    <w:rsid w:val="44B41109"/>
    <w:rsid w:val="44C57D16"/>
    <w:rsid w:val="453F38A4"/>
    <w:rsid w:val="45881D65"/>
    <w:rsid w:val="45EC3004"/>
    <w:rsid w:val="4609638B"/>
    <w:rsid w:val="461B7E6D"/>
    <w:rsid w:val="46476EB4"/>
    <w:rsid w:val="466F552F"/>
    <w:rsid w:val="467D0B27"/>
    <w:rsid w:val="473A4323"/>
    <w:rsid w:val="47971775"/>
    <w:rsid w:val="47A80F1E"/>
    <w:rsid w:val="47BC7810"/>
    <w:rsid w:val="490D2A48"/>
    <w:rsid w:val="49AB59AC"/>
    <w:rsid w:val="49E959C6"/>
    <w:rsid w:val="49F7474D"/>
    <w:rsid w:val="4A063D29"/>
    <w:rsid w:val="4A537EC6"/>
    <w:rsid w:val="4A742241"/>
    <w:rsid w:val="4A9332E3"/>
    <w:rsid w:val="4AAA7A11"/>
    <w:rsid w:val="4AB64608"/>
    <w:rsid w:val="4ACC7988"/>
    <w:rsid w:val="4B2F0008"/>
    <w:rsid w:val="4B6D116B"/>
    <w:rsid w:val="4BB30ECF"/>
    <w:rsid w:val="4BF4132A"/>
    <w:rsid w:val="4BFB6776"/>
    <w:rsid w:val="4C1C011A"/>
    <w:rsid w:val="4C516396"/>
    <w:rsid w:val="4C6F3264"/>
    <w:rsid w:val="4CC9314A"/>
    <w:rsid w:val="4D471547"/>
    <w:rsid w:val="4D492C42"/>
    <w:rsid w:val="4D550108"/>
    <w:rsid w:val="4DBE3EFF"/>
    <w:rsid w:val="4E08517B"/>
    <w:rsid w:val="4E2F351E"/>
    <w:rsid w:val="4E5E65C7"/>
    <w:rsid w:val="4E6B74B7"/>
    <w:rsid w:val="4EA604F0"/>
    <w:rsid w:val="4EAE18D3"/>
    <w:rsid w:val="50357D7D"/>
    <w:rsid w:val="5071695E"/>
    <w:rsid w:val="50836D3A"/>
    <w:rsid w:val="50AC44E3"/>
    <w:rsid w:val="51114346"/>
    <w:rsid w:val="5200004C"/>
    <w:rsid w:val="520420FD"/>
    <w:rsid w:val="53B11E10"/>
    <w:rsid w:val="544113E6"/>
    <w:rsid w:val="54465448"/>
    <w:rsid w:val="54751090"/>
    <w:rsid w:val="547F3CBD"/>
    <w:rsid w:val="54BC4A58"/>
    <w:rsid w:val="54C17E31"/>
    <w:rsid w:val="552A29A3"/>
    <w:rsid w:val="55B177EA"/>
    <w:rsid w:val="55F06C20"/>
    <w:rsid w:val="55F81F79"/>
    <w:rsid w:val="56867584"/>
    <w:rsid w:val="569577C7"/>
    <w:rsid w:val="56C02A96"/>
    <w:rsid w:val="56C836F9"/>
    <w:rsid w:val="57671164"/>
    <w:rsid w:val="579637F7"/>
    <w:rsid w:val="57B70667"/>
    <w:rsid w:val="581F37ED"/>
    <w:rsid w:val="583848AE"/>
    <w:rsid w:val="584E7C2E"/>
    <w:rsid w:val="58767185"/>
    <w:rsid w:val="58922210"/>
    <w:rsid w:val="592121C5"/>
    <w:rsid w:val="598A4B0C"/>
    <w:rsid w:val="59AC7302"/>
    <w:rsid w:val="59D16D68"/>
    <w:rsid w:val="5A0D02E3"/>
    <w:rsid w:val="5A1D1FAE"/>
    <w:rsid w:val="5A56726E"/>
    <w:rsid w:val="5AB81CD6"/>
    <w:rsid w:val="5B423835"/>
    <w:rsid w:val="5B61283B"/>
    <w:rsid w:val="5BE00CB8"/>
    <w:rsid w:val="5BE70AC5"/>
    <w:rsid w:val="5C4E644E"/>
    <w:rsid w:val="5CF76AE6"/>
    <w:rsid w:val="5D711272"/>
    <w:rsid w:val="5E5645CE"/>
    <w:rsid w:val="5E622685"/>
    <w:rsid w:val="5E6A7A1F"/>
    <w:rsid w:val="5E6D3270"/>
    <w:rsid w:val="5E6E48EE"/>
    <w:rsid w:val="5F9C63EF"/>
    <w:rsid w:val="60795A64"/>
    <w:rsid w:val="60962D74"/>
    <w:rsid w:val="615B70E3"/>
    <w:rsid w:val="61785D1C"/>
    <w:rsid w:val="61B625C4"/>
    <w:rsid w:val="62724E61"/>
    <w:rsid w:val="632443AD"/>
    <w:rsid w:val="638A57D4"/>
    <w:rsid w:val="63DC3397"/>
    <w:rsid w:val="643C59D1"/>
    <w:rsid w:val="6461186A"/>
    <w:rsid w:val="649B771D"/>
    <w:rsid w:val="64D64BB0"/>
    <w:rsid w:val="64E25F56"/>
    <w:rsid w:val="651A1C05"/>
    <w:rsid w:val="654A5C21"/>
    <w:rsid w:val="65DF45BB"/>
    <w:rsid w:val="66780D24"/>
    <w:rsid w:val="66CA0DC7"/>
    <w:rsid w:val="66CD4D5B"/>
    <w:rsid w:val="66DD2C72"/>
    <w:rsid w:val="66ED4ADE"/>
    <w:rsid w:val="671C61EA"/>
    <w:rsid w:val="677D5E3A"/>
    <w:rsid w:val="67B22860"/>
    <w:rsid w:val="6826679A"/>
    <w:rsid w:val="68501A07"/>
    <w:rsid w:val="686F7E78"/>
    <w:rsid w:val="68B17B2E"/>
    <w:rsid w:val="6913462C"/>
    <w:rsid w:val="69AE677E"/>
    <w:rsid w:val="69C243A3"/>
    <w:rsid w:val="69FF2962"/>
    <w:rsid w:val="6A0B7E14"/>
    <w:rsid w:val="6A627569"/>
    <w:rsid w:val="6A6652AB"/>
    <w:rsid w:val="6AEF34F2"/>
    <w:rsid w:val="6BD34BC2"/>
    <w:rsid w:val="6C154E66"/>
    <w:rsid w:val="6C24541E"/>
    <w:rsid w:val="6C5C0714"/>
    <w:rsid w:val="6C9A56E0"/>
    <w:rsid w:val="6D154D66"/>
    <w:rsid w:val="6D186045"/>
    <w:rsid w:val="6DAE63BF"/>
    <w:rsid w:val="6E3118BE"/>
    <w:rsid w:val="6E5E68D7"/>
    <w:rsid w:val="6EAE0FCF"/>
    <w:rsid w:val="6EEB3447"/>
    <w:rsid w:val="6F755C7D"/>
    <w:rsid w:val="6FDB4872"/>
    <w:rsid w:val="700E5BE9"/>
    <w:rsid w:val="701F03D6"/>
    <w:rsid w:val="70D81E17"/>
    <w:rsid w:val="71453E6C"/>
    <w:rsid w:val="715C2F64"/>
    <w:rsid w:val="71662034"/>
    <w:rsid w:val="71706A0F"/>
    <w:rsid w:val="71983564"/>
    <w:rsid w:val="71A92C19"/>
    <w:rsid w:val="724404EA"/>
    <w:rsid w:val="72EE408F"/>
    <w:rsid w:val="72F93440"/>
    <w:rsid w:val="734E64F8"/>
    <w:rsid w:val="735E192B"/>
    <w:rsid w:val="73E32F46"/>
    <w:rsid w:val="740B127C"/>
    <w:rsid w:val="74C432FA"/>
    <w:rsid w:val="75705230"/>
    <w:rsid w:val="75877554"/>
    <w:rsid w:val="75C305D5"/>
    <w:rsid w:val="75DF6534"/>
    <w:rsid w:val="761D53B8"/>
    <w:rsid w:val="762675F1"/>
    <w:rsid w:val="76306B4C"/>
    <w:rsid w:val="771B1C48"/>
    <w:rsid w:val="77903967"/>
    <w:rsid w:val="779459EF"/>
    <w:rsid w:val="77F53640"/>
    <w:rsid w:val="783A79FD"/>
    <w:rsid w:val="7891227F"/>
    <w:rsid w:val="79110AD8"/>
    <w:rsid w:val="791D0302"/>
    <w:rsid w:val="79CD2C51"/>
    <w:rsid w:val="79F5721B"/>
    <w:rsid w:val="7A037EBA"/>
    <w:rsid w:val="7A545120"/>
    <w:rsid w:val="7A775C1E"/>
    <w:rsid w:val="7A7913C3"/>
    <w:rsid w:val="7A8F40D8"/>
    <w:rsid w:val="7AFB559C"/>
    <w:rsid w:val="7B5B603A"/>
    <w:rsid w:val="7B713AB0"/>
    <w:rsid w:val="7BD665F9"/>
    <w:rsid w:val="7BE628E9"/>
    <w:rsid w:val="7C553070"/>
    <w:rsid w:val="7C7B1804"/>
    <w:rsid w:val="7CA35EEB"/>
    <w:rsid w:val="7CE33567"/>
    <w:rsid w:val="7CFB5D27"/>
    <w:rsid w:val="7D0B5D41"/>
    <w:rsid w:val="7D474AC8"/>
    <w:rsid w:val="7DEB5D9B"/>
    <w:rsid w:val="7DFB58B2"/>
    <w:rsid w:val="7E835FD4"/>
    <w:rsid w:val="7E847E35"/>
    <w:rsid w:val="7EEA6053"/>
    <w:rsid w:val="7EFC5E66"/>
    <w:rsid w:val="7F4D5B2B"/>
    <w:rsid w:val="7F4F4108"/>
    <w:rsid w:val="7F86271C"/>
    <w:rsid w:val="7FB81CAD"/>
    <w:rsid w:val="7FF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20" w:lineRule="exact"/>
      <w:ind w:firstLine="40" w:firstLineChars="200"/>
      <w:outlineLvl w:val="0"/>
    </w:pPr>
    <w:rPr>
      <w:rFonts w:ascii="Times New Roman" w:hAnsi="Times New Roman" w:eastAsia="黑体" w:cs="黑体"/>
      <w:b/>
      <w:bCs/>
      <w:sz w:val="32"/>
      <w:szCs w:val="36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50" w:beforeLines="50" w:after="50" w:afterLines="50"/>
      <w:jc w:val="left"/>
      <w:outlineLvl w:val="1"/>
    </w:pPr>
    <w:rPr>
      <w:rFonts w:hint="eastAsia" w:ascii="Times New Roman" w:hAnsi="Times New Roman" w:eastAsia="黑体"/>
      <w:kern w:val="0"/>
      <w:sz w:val="30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15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kern w:val="0"/>
      <w:sz w:val="34"/>
      <w:szCs w:val="34"/>
    </w:rPr>
  </w:style>
  <w:style w:type="paragraph" w:customStyle="1" w:styleId="16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2999</Words>
  <Characters>3127</Characters>
  <Lines>25</Lines>
  <Paragraphs>7</Paragraphs>
  <TotalTime>4</TotalTime>
  <ScaleCrop>false</ScaleCrop>
  <LinksUpToDate>false</LinksUpToDate>
  <CharactersWithSpaces>3234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2024-03-04T12:12:00Z</dcterms:created>
  <dc:creator>牙疼</dc:creator>
  <cp:lastModifiedBy>子嘉</cp:lastModifiedBy>
  <cp:lastPrinted>2023-04-14T07:40:00Z</cp:lastPrinted>
  <dcterms:modified xsi:type="dcterms:W3CDTF">2024-03-08T02:01:09Z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DE3B549A630A4FFCB8C330F7EAB145E3</vt:lpwstr>
  </property>
</Properties>
</file>