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32"/>
          <w:szCs w:val="32"/>
        </w:rPr>
      </w:pPr>
      <w:r>
        <w:rPr>
          <w:rFonts w:hint="eastAsia" w:ascii="宋体" w:hAnsi="宋体" w:cs="宋体"/>
          <w:sz w:val="32"/>
          <w:szCs w:val="32"/>
        </w:rPr>
        <w:t>附件一：</w:t>
      </w:r>
    </w:p>
    <w:p>
      <w:pPr>
        <w:widowControl/>
        <w:spacing w:line="600" w:lineRule="atLeast"/>
        <w:jc w:val="center"/>
        <w:outlineLvl w:val="0"/>
        <w:rPr>
          <w:rFonts w:hint="eastAsia" w:ascii="宋体" w:hAnsi="宋体" w:cs="黑体"/>
          <w:b/>
          <w:bCs/>
          <w:sz w:val="44"/>
          <w:szCs w:val="44"/>
        </w:rPr>
      </w:pPr>
      <w:bookmarkStart w:id="0" w:name="_Toc495354000"/>
      <w:bookmarkStart w:id="1" w:name="_Toc22134"/>
      <w:r>
        <w:rPr>
          <w:rFonts w:hint="eastAsia" w:ascii="宋体" w:hAnsi="宋体" w:cs="黑体"/>
          <w:b/>
          <w:bCs/>
          <w:sz w:val="44"/>
          <w:szCs w:val="44"/>
        </w:rPr>
        <w:t>南昌大学2020年度研究生调研大赛细则</w:t>
      </w:r>
      <w:bookmarkEnd w:id="0"/>
      <w:bookmarkEnd w:id="1"/>
    </w:p>
    <w:p>
      <w:pPr>
        <w:keepNext/>
        <w:keepLines/>
        <w:widowControl/>
        <w:spacing w:line="360" w:lineRule="auto"/>
        <w:rPr>
          <w:rFonts w:ascii="仿宋" w:hAnsi="仿宋" w:eastAsia="仿宋" w:cs="仿宋"/>
          <w:kern w:val="0"/>
          <w:sz w:val="28"/>
          <w:szCs w:val="28"/>
        </w:rPr>
      </w:pPr>
      <w:r>
        <w:rPr>
          <w:rFonts w:hint="eastAsia" w:ascii="仿宋" w:hAnsi="仿宋" w:eastAsia="仿宋" w:cs="仿宋"/>
          <w:b/>
          <w:sz w:val="28"/>
          <w:szCs w:val="28"/>
        </w:rPr>
        <w:t>一、报名</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时间：2020年</w:t>
      </w:r>
      <w:r>
        <w:rPr>
          <w:rFonts w:hint="default" w:ascii="仿宋" w:hAnsi="仿宋" w:eastAsia="仿宋" w:cs="仿宋"/>
          <w:sz w:val="28"/>
          <w:szCs w:val="28"/>
          <w:lang w:val="en-US"/>
        </w:rPr>
        <w:t>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eastAsia="zh-CN"/>
        </w:rPr>
        <w:t>之前</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方式：</w:t>
      </w:r>
    </w:p>
    <w:p>
      <w:pPr>
        <w:spacing w:line="360" w:lineRule="auto"/>
        <w:ind w:firstLine="530"/>
        <w:rPr>
          <w:rFonts w:ascii="仿宋" w:hAnsi="仿宋" w:eastAsia="仿宋" w:cs="仿宋"/>
          <w:sz w:val="28"/>
          <w:szCs w:val="28"/>
        </w:rPr>
      </w:pPr>
      <w:r>
        <w:rPr>
          <w:rFonts w:hint="eastAsia" w:ascii="仿宋" w:hAnsi="仿宋" w:eastAsia="仿宋" w:cs="仿宋"/>
          <w:sz w:val="28"/>
          <w:szCs w:val="28"/>
        </w:rPr>
        <w:t>1.学院内组合团队报名：登录南昌大学党委研究生工作部网站（http://ygb.ncu.edu.cn/）或加入调研大赛QQ答疑群（群号：912971765）下载调研大赛报名表（附件三），报名汇总表（附件四）。按照要求填写后，将报名表、报名汇总表、调研报告结构框架、调研开展计划电子版打包</w:t>
      </w:r>
      <w:r>
        <w:rPr>
          <w:rFonts w:hint="eastAsia" w:ascii="仿宋" w:hAnsi="仿宋" w:eastAsia="仿宋" w:cs="仿宋"/>
          <w:b/>
          <w:bCs/>
          <w:sz w:val="28"/>
          <w:szCs w:val="28"/>
        </w:rPr>
        <w:t>（请以“学院-团队名称-选题-队长手机号码”作为文件名称）</w:t>
      </w:r>
      <w:r>
        <w:rPr>
          <w:rFonts w:hint="eastAsia" w:ascii="仿宋" w:hAnsi="仿宋" w:eastAsia="仿宋" w:cs="仿宋"/>
          <w:sz w:val="28"/>
          <w:szCs w:val="28"/>
        </w:rPr>
        <w:t>提交给学院，各学院自行下载报名汇总表（附件四），将各团队报名信息审查通过并进行汇总后，由</w:t>
      </w:r>
      <w:r>
        <w:rPr>
          <w:rFonts w:hint="eastAsia" w:ascii="仿宋" w:hAnsi="仿宋" w:eastAsia="仿宋" w:cs="仿宋"/>
          <w:sz w:val="28"/>
          <w:szCs w:val="28"/>
          <w:lang w:val="en-US" w:eastAsia="zh-CN"/>
        </w:rPr>
        <w:t>各小组组长</w:t>
      </w:r>
      <w:r>
        <w:rPr>
          <w:rFonts w:hint="eastAsia" w:ascii="仿宋" w:hAnsi="仿宋" w:eastAsia="仿宋" w:cs="仿宋"/>
          <w:sz w:val="28"/>
          <w:szCs w:val="28"/>
        </w:rPr>
        <w:t>于2020年1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日前将报名信息及报名汇总表统一打包发至南昌大学研究生调研大赛报名邮箱：17635731677@163.com。</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跨学院组合团队报名：登录南昌大学党委研究生工作部网站（http://ygb.ncu.edu.cn/）或加入调研大赛QQ答疑群（群号：912971765）下载调研大赛报名表（附件三）及报名汇总表（附件四）。按照要求填写后，将报名表、报名汇总表电子版打包，并于2020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日前发送至南昌大学研究生调研大赛报名邮箱：17635731677@163.com。</w:t>
      </w:r>
      <w:r>
        <w:rPr>
          <w:rFonts w:hint="eastAsia" w:ascii="仿宋" w:hAnsi="仿宋" w:eastAsia="仿宋" w:cs="仿宋"/>
          <w:b/>
          <w:bCs/>
          <w:sz w:val="28"/>
          <w:szCs w:val="28"/>
        </w:rPr>
        <w:t>（请以“团队名称-选题-队长手机号码”作为邮件名称）</w:t>
      </w:r>
      <w:r>
        <w:rPr>
          <w:rFonts w:hint="eastAsia" w:ascii="仿宋" w:hAnsi="仿宋" w:eastAsia="仿宋" w:cs="仿宋"/>
          <w:sz w:val="28"/>
          <w:szCs w:val="28"/>
        </w:rPr>
        <w:t>。</w:t>
      </w:r>
    </w:p>
    <w:p>
      <w:pPr>
        <w:keepNext/>
        <w:keepLines/>
        <w:widowControl/>
        <w:spacing w:line="360" w:lineRule="auto"/>
        <w:rPr>
          <w:rFonts w:ascii="仿宋" w:hAnsi="仿宋" w:eastAsia="仿宋" w:cs="仿宋"/>
          <w:b/>
          <w:sz w:val="28"/>
          <w:szCs w:val="28"/>
        </w:rPr>
      </w:pPr>
    </w:p>
    <w:p>
      <w:pPr>
        <w:keepNext/>
        <w:keepLines/>
        <w:widowControl/>
        <w:spacing w:line="360" w:lineRule="auto"/>
        <w:rPr>
          <w:rFonts w:ascii="仿宋" w:hAnsi="仿宋" w:eastAsia="仿宋" w:cs="仿宋"/>
          <w:kern w:val="0"/>
          <w:sz w:val="24"/>
        </w:rPr>
      </w:pPr>
      <w:r>
        <w:rPr>
          <w:rFonts w:hint="eastAsia" w:ascii="仿宋" w:hAnsi="仿宋" w:eastAsia="仿宋" w:cs="仿宋"/>
          <w:b/>
          <w:sz w:val="28"/>
          <w:szCs w:val="28"/>
        </w:rPr>
        <w:t>二、初选赛——选题评审</w:t>
      </w:r>
    </w:p>
    <w:p>
      <w:pPr>
        <w:widowControl/>
        <w:spacing w:line="360" w:lineRule="auto"/>
        <w:ind w:firstLine="562" w:firstLineChars="200"/>
        <w:rPr>
          <w:rFonts w:ascii="仿宋" w:hAnsi="仿宋" w:eastAsia="仿宋" w:cs="仿宋"/>
          <w:kern w:val="0"/>
          <w:sz w:val="24"/>
        </w:rPr>
      </w:pPr>
      <w:r>
        <w:rPr>
          <w:rFonts w:hint="eastAsia" w:ascii="仿宋" w:hAnsi="仿宋" w:eastAsia="仿宋" w:cs="仿宋"/>
          <w:b/>
          <w:sz w:val="28"/>
          <w:szCs w:val="28"/>
        </w:rPr>
        <w:t>A、流程：</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初赛由大赛评审委员会对调研团队提交的调研选题、</w:t>
      </w:r>
      <w:r>
        <w:rPr>
          <w:rFonts w:hint="eastAsia" w:ascii="仿宋" w:hAnsi="仿宋" w:eastAsia="仿宋" w:cs="仿宋"/>
          <w:bCs/>
          <w:sz w:val="28"/>
          <w:szCs w:val="28"/>
        </w:rPr>
        <w:t>调研报告结构框架、开展计划</w:t>
      </w:r>
      <w:r>
        <w:rPr>
          <w:rFonts w:hint="eastAsia" w:ascii="仿宋" w:hAnsi="仿宋" w:eastAsia="仿宋" w:cs="仿宋"/>
          <w:sz w:val="28"/>
          <w:szCs w:val="28"/>
        </w:rPr>
        <w:t>进行评审。评选出选题切实可行、具有可操作性的团队进入总决赛。</w:t>
      </w:r>
    </w:p>
    <w:p>
      <w:pPr>
        <w:widowControl/>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经过大赛评审委员会的评审，主办方将评审结果通知各参赛团队负责人。</w:t>
      </w:r>
    </w:p>
    <w:p>
      <w:pPr>
        <w:widowControl/>
        <w:spacing w:line="360" w:lineRule="auto"/>
        <w:ind w:firstLine="562" w:firstLineChars="200"/>
        <w:rPr>
          <w:rFonts w:ascii="仿宋" w:hAnsi="仿宋" w:eastAsia="仿宋" w:cs="仿宋"/>
          <w:kern w:val="0"/>
          <w:sz w:val="24"/>
        </w:rPr>
      </w:pPr>
      <w:r>
        <w:rPr>
          <w:rFonts w:hint="eastAsia" w:ascii="仿宋" w:hAnsi="仿宋" w:eastAsia="仿宋" w:cs="仿宋"/>
          <w:b/>
          <w:sz w:val="28"/>
          <w:szCs w:val="28"/>
        </w:rPr>
        <w:t>B、说明：</w:t>
      </w:r>
    </w:p>
    <w:p>
      <w:pPr>
        <w:widowControl/>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1.调研选题需切实可行、具有可操作性，切忌空洞、过于宽泛，选题不扎堆、避免雷同。根据选题情况，评选出进入总决赛的团队。</w:t>
      </w:r>
    </w:p>
    <w:p>
      <w:pPr>
        <w:widowControl/>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2.各学院须推荐不少于名额分配数量的团队参赛；其余团队可跨学科、跨学院、跨年级自由组队，每支参赛团队人数以</w:t>
      </w:r>
      <w:r>
        <w:rPr>
          <w:rFonts w:hint="eastAsia" w:ascii="仿宋" w:hAnsi="仿宋" w:eastAsia="仿宋" w:cs="仿宋"/>
          <w:b/>
          <w:bCs/>
          <w:sz w:val="28"/>
          <w:szCs w:val="28"/>
        </w:rPr>
        <w:t>3-5人</w:t>
      </w:r>
      <w:r>
        <w:rPr>
          <w:rFonts w:hint="eastAsia" w:ascii="仿宋" w:hAnsi="仿宋" w:eastAsia="仿宋" w:cs="仿宋"/>
          <w:sz w:val="28"/>
          <w:szCs w:val="28"/>
        </w:rPr>
        <w:t>为宜，设团队队长一名，参赛者不能同时兼任两个参赛团队队长。</w:t>
      </w:r>
    </w:p>
    <w:p>
      <w:pPr>
        <w:widowControl/>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各参赛团队需找到一位指导老师（如团队某成员的导师等），对团队的选题、结构框架、调研计划进行指导修改，初选赛提交的调研汇报均需自行打印纸质版，且封面必须附上指导老师的签名(纸质材料提交时间、地点将在答疑群中另行通知)。</w:t>
      </w:r>
    </w:p>
    <w:p>
      <w:pPr>
        <w:widowControl/>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4.参赛团队需明确申报选题，一经提交后将不得随意进行更改。</w:t>
      </w:r>
    </w:p>
    <w:p>
      <w:pPr>
        <w:widowControl/>
        <w:spacing w:line="360" w:lineRule="auto"/>
        <w:ind w:firstLine="560" w:firstLineChars="200"/>
        <w:rPr>
          <w:rFonts w:ascii="仿宋" w:hAnsi="仿宋" w:eastAsia="仿宋" w:cs="仿宋"/>
          <w:color w:val="FF0000"/>
          <w:sz w:val="28"/>
          <w:szCs w:val="28"/>
        </w:rPr>
      </w:pPr>
      <w:r>
        <w:rPr>
          <w:rFonts w:hint="eastAsia" w:ascii="仿宋" w:hAnsi="仿宋" w:eastAsia="仿宋" w:cs="仿宋"/>
          <w:bCs/>
          <w:sz w:val="28"/>
          <w:szCs w:val="28"/>
        </w:rPr>
        <w:t>5.调研开展计划须合理，调研报告结构要完整。计划即指在初选赛结束后至总决赛截止前的一段时间内的具体安排。</w:t>
      </w:r>
    </w:p>
    <w:p>
      <w:pPr>
        <w:widowControl/>
        <w:spacing w:line="360" w:lineRule="auto"/>
        <w:ind w:firstLine="560" w:firstLineChars="200"/>
        <w:rPr>
          <w:rFonts w:ascii="仿宋" w:hAnsi="仿宋" w:eastAsia="仿宋" w:cs="仿宋"/>
          <w:color w:val="FF0000"/>
          <w:sz w:val="28"/>
          <w:szCs w:val="28"/>
        </w:rPr>
      </w:pPr>
      <w:r>
        <w:rPr>
          <w:rFonts w:hint="eastAsia" w:ascii="仿宋" w:hAnsi="仿宋" w:eastAsia="仿宋" w:cs="仿宋"/>
          <w:bCs/>
          <w:sz w:val="28"/>
          <w:szCs w:val="28"/>
        </w:rPr>
        <w:t>6.调研开展计划应与后期实地调研基本一致，晋级决赛的团队须合理安排时间进行实地调研、采集相关数据及资料并撰写调研成果（调研报告或学术论文）。</w:t>
      </w:r>
    </w:p>
    <w:p>
      <w:pPr>
        <w:widowControl/>
        <w:spacing w:line="360" w:lineRule="auto"/>
        <w:ind w:firstLine="560" w:firstLineChars="200"/>
        <w:rPr>
          <w:rFonts w:ascii="仿宋" w:hAnsi="仿宋" w:eastAsia="仿宋" w:cs="仿宋"/>
          <w:color w:val="FF0000"/>
          <w:sz w:val="28"/>
          <w:szCs w:val="28"/>
        </w:rPr>
      </w:pPr>
      <w:r>
        <w:rPr>
          <w:rFonts w:hint="eastAsia" w:ascii="仿宋" w:hAnsi="仿宋" w:eastAsia="仿宋" w:cs="仿宋"/>
          <w:bCs/>
          <w:kern w:val="0"/>
          <w:sz w:val="28"/>
          <w:szCs w:val="28"/>
        </w:rPr>
        <w:t>7.初选</w:t>
      </w:r>
      <w:r>
        <w:rPr>
          <w:rFonts w:hint="eastAsia" w:ascii="仿宋" w:hAnsi="仿宋" w:eastAsia="仿宋" w:cs="仿宋"/>
          <w:bCs/>
          <w:spacing w:val="-6"/>
          <w:kern w:val="0"/>
          <w:sz w:val="28"/>
          <w:szCs w:val="28"/>
        </w:rPr>
        <w:t>赛采取百分制形式打分，满分100分，按最终成绩决选出进决赛的队伍。</w:t>
      </w:r>
    </w:p>
    <w:p>
      <w:pPr>
        <w:keepNext/>
        <w:keepLines/>
        <w:widowControl/>
        <w:ind w:firstLine="562" w:firstLineChars="200"/>
        <w:rPr>
          <w:rFonts w:hint="eastAsia" w:ascii="仿宋" w:hAnsi="仿宋" w:eastAsia="仿宋" w:cs="仿宋"/>
          <w:bCs/>
          <w:color w:val="000000"/>
          <w:kern w:val="0"/>
          <w:sz w:val="28"/>
          <w:szCs w:val="28"/>
        </w:rPr>
      </w:pPr>
      <w:r>
        <w:rPr>
          <w:rFonts w:hint="eastAsia" w:ascii="仿宋" w:hAnsi="仿宋" w:eastAsia="仿宋" w:cs="仿宋"/>
          <w:b/>
          <w:color w:val="000000"/>
          <w:kern w:val="0"/>
          <w:sz w:val="28"/>
          <w:szCs w:val="28"/>
        </w:rPr>
        <w:t>C.评分细则</w:t>
      </w:r>
      <w:r>
        <w:rPr>
          <w:rFonts w:hint="eastAsia" w:ascii="仿宋" w:hAnsi="仿宋" w:eastAsia="仿宋" w:cs="仿宋"/>
          <w:bCs/>
          <w:color w:val="000000"/>
          <w:kern w:val="0"/>
          <w:sz w:val="28"/>
          <w:szCs w:val="28"/>
        </w:rPr>
        <w:t>：</w:t>
      </w:r>
    </w:p>
    <w:p>
      <w:pPr>
        <w:keepNext/>
        <w:keepLines/>
        <w:widowControl/>
        <w:ind w:firstLine="560" w:firstLineChars="200"/>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调研开展计划总分100分，占总评成绩的</w:t>
      </w:r>
      <w:r>
        <w:rPr>
          <w:rFonts w:ascii="仿宋" w:hAnsi="仿宋" w:eastAsia="仿宋" w:cs="仿宋"/>
          <w:bCs/>
          <w:color w:val="000000"/>
          <w:kern w:val="0"/>
          <w:sz w:val="28"/>
          <w:szCs w:val="28"/>
        </w:rPr>
        <w:t>6</w:t>
      </w:r>
      <w:r>
        <w:rPr>
          <w:rFonts w:hint="eastAsia" w:ascii="仿宋" w:hAnsi="仿宋" w:eastAsia="仿宋" w:cs="仿宋"/>
          <w:bCs/>
          <w:color w:val="000000"/>
          <w:kern w:val="0"/>
          <w:sz w:val="28"/>
          <w:szCs w:val="28"/>
        </w:rPr>
        <w:t>0%；调研结构框架总分100分，占总评成绩队伍40%；具体参考</w:t>
      </w:r>
      <w:r>
        <w:rPr>
          <w:rFonts w:hint="eastAsia" w:ascii="仿宋" w:hAnsi="仿宋" w:eastAsia="仿宋" w:cs="仿宋"/>
          <w:sz w:val="28"/>
          <w:szCs w:val="28"/>
        </w:rPr>
        <w:t>分值</w:t>
      </w:r>
      <w:r>
        <w:rPr>
          <w:rFonts w:hint="eastAsia" w:ascii="仿宋" w:hAnsi="仿宋" w:eastAsia="仿宋" w:cs="仿宋"/>
          <w:bCs/>
          <w:color w:val="000000"/>
          <w:kern w:val="0"/>
          <w:sz w:val="28"/>
          <w:szCs w:val="28"/>
        </w:rPr>
        <w:t>如下：</w:t>
      </w:r>
    </w:p>
    <w:p>
      <w:pPr>
        <w:ind w:firstLine="560" w:firstLineChars="200"/>
        <w:rPr>
          <w:b/>
          <w:bCs/>
          <w:kern w:val="0"/>
          <w:sz w:val="24"/>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调研开展计划</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（1）选题新颖，结合实际，</w:t>
      </w:r>
      <w:r>
        <w:rPr>
          <w:rFonts w:ascii="仿宋" w:hAnsi="仿宋" w:eastAsia="仿宋" w:cs="仿宋"/>
          <w:sz w:val="28"/>
          <w:szCs w:val="28"/>
        </w:rPr>
        <w:t>20</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）内容条理清晰、层次分明、逻辑严密，3</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）计划完整，具备执行力，3</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）指导老师指导并签名，2</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2、调研报告结构框架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（1）符合格式要求，5</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（2）前后连贯，有逻辑性，5</w:t>
      </w:r>
      <w:r>
        <w:rPr>
          <w:rFonts w:ascii="仿宋" w:hAnsi="仿宋" w:eastAsia="仿宋" w:cs="仿宋"/>
          <w:sz w:val="28"/>
          <w:szCs w:val="28"/>
        </w:rPr>
        <w:t>0</w:t>
      </w:r>
      <w:r>
        <w:rPr>
          <w:rFonts w:hint="eastAsia" w:ascii="仿宋" w:hAnsi="仿宋" w:eastAsia="仿宋" w:cs="仿宋"/>
          <w:sz w:val="28"/>
          <w:szCs w:val="28"/>
        </w:rPr>
        <w:t>分。</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D.格式要求：</w:t>
      </w:r>
    </w:p>
    <w:p>
      <w:pPr>
        <w:spacing w:line="360" w:lineRule="auto"/>
        <w:ind w:firstLine="560" w:firstLineChars="200"/>
      </w:pPr>
      <w:r>
        <w:rPr>
          <w:rFonts w:hint="eastAsia" w:ascii="仿宋" w:hAnsi="仿宋" w:eastAsia="仿宋" w:cs="仿宋"/>
          <w:bCs/>
          <w:sz w:val="28"/>
          <w:szCs w:val="28"/>
        </w:rPr>
        <w:t>初选赛提交的调研报告结构框架格式请参考南昌大学研究生学术论文的统一格式，具体要求详见南昌大学《研究生手册》68-69页及86页。结构框架类似学术论文目录，只需写到二级节标题即可。框架内容可自行调节，但请务必按照格式进行撰写（格式范例如下，框架内容请自行撰写，以上仅为格式要求）。</w:t>
      </w: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r>
        <w:rPr>
          <w:rFonts w:hint="eastAsia"/>
        </w:rPr>
        <w:drawing>
          <wp:inline distT="0" distB="0" distL="114300" distR="114300">
            <wp:extent cx="5272405" cy="3228975"/>
            <wp:effectExtent l="0" t="0" r="4445" b="9525"/>
            <wp:docPr id="11" name="图片 9" descr="1541682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1541682531(1)"/>
                    <pic:cNvPicPr>
                      <a:picLocks noChangeAspect="1"/>
                    </pic:cNvPicPr>
                  </pic:nvPicPr>
                  <pic:blipFill>
                    <a:blip r:embed="rId4"/>
                    <a:stretch>
                      <a:fillRect/>
                    </a:stretch>
                  </pic:blipFill>
                  <pic:spPr>
                    <a:xfrm>
                      <a:off x="0" y="0"/>
                      <a:ext cx="5272405" cy="3228975"/>
                    </a:xfrm>
                    <a:prstGeom prst="rect">
                      <a:avLst/>
                    </a:prstGeom>
                    <a:noFill/>
                    <a:ln>
                      <a:noFill/>
                    </a:ln>
                  </pic:spPr>
                </pic:pic>
              </a:graphicData>
            </a:graphic>
          </wp:inline>
        </w:drawing>
      </w:r>
      <w:r>
        <w:rPr>
          <w:rFonts w:hint="eastAsia" w:ascii="仿宋" w:hAnsi="仿宋" w:eastAsia="仿宋" w:cs="仿宋"/>
          <w:bCs/>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3465830</wp:posOffset>
            </wp:positionV>
            <wp:extent cx="5042535" cy="3064510"/>
            <wp:effectExtent l="0" t="0" r="5715" b="2540"/>
            <wp:wrapNone/>
            <wp:docPr id="10" name="图片 2" descr="1541680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1541680690(1)"/>
                    <pic:cNvPicPr>
                      <a:picLocks noChangeAspect="1"/>
                    </pic:cNvPicPr>
                  </pic:nvPicPr>
                  <pic:blipFill>
                    <a:blip r:embed="rId5"/>
                    <a:stretch>
                      <a:fillRect/>
                    </a:stretch>
                  </pic:blipFill>
                  <pic:spPr>
                    <a:xfrm>
                      <a:off x="0" y="0"/>
                      <a:ext cx="5042535" cy="3064510"/>
                    </a:xfrm>
                    <a:prstGeom prst="rect">
                      <a:avLst/>
                    </a:prstGeom>
                    <a:noFill/>
                    <a:ln>
                      <a:noFill/>
                    </a:ln>
                  </pic:spPr>
                </pic:pic>
              </a:graphicData>
            </a:graphic>
          </wp:anchor>
        </w:drawing>
      </w:r>
    </w:p>
    <w:p>
      <w:pPr>
        <w:keepNext/>
        <w:keepLines/>
        <w:widowControl/>
        <w:rPr>
          <w:rFonts w:ascii="仿宋" w:hAnsi="仿宋" w:eastAsia="仿宋" w:cs="仿宋"/>
          <w:bCs/>
          <w:sz w:val="28"/>
          <w:szCs w:val="28"/>
        </w:rPr>
      </w:pPr>
    </w:p>
    <w:p>
      <w:pPr>
        <w:keepNext/>
        <w:keepLines/>
        <w:widowControl/>
        <w:rPr>
          <w:rFonts w:ascii="仿宋" w:hAnsi="仿宋" w:eastAsia="仿宋" w:cs="仿宋"/>
          <w:bCs/>
          <w:sz w:val="28"/>
          <w:szCs w:val="28"/>
        </w:rPr>
      </w:pPr>
    </w:p>
    <w:p>
      <w:pPr>
        <w:keepNext/>
        <w:keepLines/>
        <w:widowControl/>
        <w:rPr>
          <w:rFonts w:ascii="仿宋" w:hAnsi="仿宋" w:eastAsia="仿宋" w:cs="仿宋"/>
          <w:bCs/>
          <w:sz w:val="28"/>
          <w:szCs w:val="28"/>
        </w:rPr>
      </w:pPr>
    </w:p>
    <w:p>
      <w:pPr>
        <w:keepNext/>
        <w:keepLines/>
        <w:widowControl/>
        <w:rPr>
          <w:rFonts w:ascii="仿宋" w:hAnsi="仿宋" w:eastAsia="仿宋" w:cs="仿宋"/>
          <w:bCs/>
          <w:sz w:val="28"/>
          <w:szCs w:val="28"/>
        </w:rPr>
      </w:pPr>
    </w:p>
    <w:p>
      <w:pPr>
        <w:keepNext/>
        <w:keepLines/>
        <w:widowControl/>
        <w:rPr>
          <w:rFonts w:ascii="仿宋" w:hAnsi="仿宋" w:eastAsia="仿宋" w:cs="仿宋"/>
          <w:bCs/>
          <w:sz w:val="28"/>
          <w:szCs w:val="28"/>
        </w:rPr>
      </w:pPr>
    </w:p>
    <w:p>
      <w:pPr>
        <w:keepNext/>
        <w:keepLines/>
        <w:widowControl/>
      </w:pPr>
    </w:p>
    <w:p>
      <w:pPr>
        <w:keepNext/>
        <w:keepLines/>
        <w:widowControl/>
        <w:spacing w:line="360" w:lineRule="auto"/>
        <w:rPr>
          <w:rFonts w:hint="eastAsia" w:ascii="仿宋" w:hAnsi="仿宋" w:eastAsia="仿宋" w:cs="仿宋"/>
          <w:bCs/>
          <w:sz w:val="28"/>
          <w:szCs w:val="28"/>
        </w:rPr>
      </w:pPr>
    </w:p>
    <w:p>
      <w:pPr>
        <w:keepNext/>
        <w:keepLines/>
        <w:widowControl/>
        <w:spacing w:line="360" w:lineRule="auto"/>
        <w:rPr>
          <w:rFonts w:hint="eastAsia" w:ascii="仿宋" w:hAnsi="仿宋" w:eastAsia="仿宋" w:cs="仿宋"/>
          <w:b/>
          <w:sz w:val="28"/>
          <w:szCs w:val="28"/>
        </w:rPr>
      </w:pPr>
    </w:p>
    <w:p>
      <w:pPr>
        <w:keepNext/>
        <w:keepLines/>
        <w:widowControl/>
        <w:spacing w:line="360" w:lineRule="auto"/>
        <w:rPr>
          <w:rFonts w:hint="eastAsia" w:ascii="仿宋" w:hAnsi="仿宋" w:eastAsia="仿宋" w:cs="仿宋"/>
          <w:b/>
          <w:sz w:val="28"/>
          <w:szCs w:val="28"/>
        </w:rPr>
      </w:pPr>
    </w:p>
    <w:p>
      <w:pPr>
        <w:keepNext/>
        <w:keepLines/>
        <w:widowControl/>
        <w:spacing w:line="360" w:lineRule="auto"/>
        <w:rPr>
          <w:rFonts w:ascii="仿宋" w:hAnsi="仿宋" w:eastAsia="仿宋" w:cs="仿宋"/>
          <w:kern w:val="0"/>
          <w:sz w:val="24"/>
        </w:rPr>
      </w:pPr>
      <w:r>
        <w:rPr>
          <w:rFonts w:hint="eastAsia" w:ascii="仿宋" w:hAnsi="仿宋" w:eastAsia="仿宋" w:cs="仿宋"/>
          <w:b/>
          <w:sz w:val="28"/>
          <w:szCs w:val="28"/>
        </w:rPr>
        <w:t>三、总决赛——调研成果展示</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入围决赛的团队须于</w:t>
      </w:r>
      <w:r>
        <w:rPr>
          <w:rFonts w:hint="eastAsia" w:ascii="仿宋" w:hAnsi="仿宋" w:eastAsia="仿宋" w:cs="仿宋"/>
          <w:sz w:val="28"/>
          <w:szCs w:val="28"/>
          <w:lang w:val="en-US" w:eastAsia="zh-CN"/>
        </w:rPr>
        <w:t>2021年3</w:t>
      </w:r>
      <w:r>
        <w:rPr>
          <w:rFonts w:hint="eastAsia" w:ascii="仿宋" w:hAnsi="仿宋" w:eastAsia="仿宋" w:cs="仿宋"/>
          <w:b/>
          <w:bCs/>
          <w:sz w:val="28"/>
          <w:szCs w:val="28"/>
        </w:rPr>
        <w:t>月1日</w:t>
      </w:r>
      <w:r>
        <w:rPr>
          <w:rFonts w:hint="eastAsia" w:ascii="仿宋" w:hAnsi="仿宋" w:eastAsia="仿宋" w:cs="仿宋"/>
          <w:sz w:val="28"/>
          <w:szCs w:val="28"/>
        </w:rPr>
        <w:t>之前将调研现场照片（不少于三张）、调研成果（调研报告或学术论文）电子版、PPT或视频等汇报材料打包发送至17635731677@163.com。</w:t>
      </w:r>
    </w:p>
    <w:p>
      <w:pPr>
        <w:widowControl/>
        <w:spacing w:line="360" w:lineRule="auto"/>
        <w:rPr>
          <w:rFonts w:ascii="仿宋" w:hAnsi="仿宋" w:eastAsia="仿宋" w:cs="仿宋"/>
          <w:sz w:val="28"/>
          <w:szCs w:val="28"/>
        </w:rPr>
      </w:pPr>
      <w:r>
        <w:rPr>
          <w:rFonts w:hint="eastAsia" w:ascii="仿宋" w:hAnsi="仿宋" w:eastAsia="仿宋" w:cs="仿宋"/>
          <w:sz w:val="28"/>
          <w:szCs w:val="28"/>
        </w:rPr>
        <w:t>（注：各参赛团队请以</w:t>
      </w:r>
      <w:r>
        <w:rPr>
          <w:rFonts w:hint="eastAsia" w:ascii="仿宋" w:hAnsi="仿宋" w:eastAsia="仿宋" w:cs="仿宋"/>
          <w:b/>
          <w:bCs/>
          <w:sz w:val="28"/>
          <w:szCs w:val="28"/>
        </w:rPr>
        <w:t>“团队名称-调研报告或学术论文名称-队长手机号码”</w:t>
      </w:r>
      <w:r>
        <w:rPr>
          <w:rFonts w:hint="eastAsia" w:ascii="仿宋" w:hAnsi="仿宋" w:eastAsia="仿宋" w:cs="仿宋"/>
          <w:sz w:val="28"/>
          <w:szCs w:val="28"/>
        </w:rPr>
        <w:t>作为邮件名称直接发送至邮箱。）</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预计</w:t>
      </w:r>
      <w:r>
        <w:rPr>
          <w:rFonts w:hint="eastAsia" w:ascii="仿宋" w:hAnsi="仿宋" w:eastAsia="仿宋" w:cs="仿宋"/>
          <w:sz w:val="28"/>
          <w:szCs w:val="28"/>
          <w:lang w:val="en-US" w:eastAsia="zh-CN"/>
        </w:rPr>
        <w:t>于2021年3</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日进行决赛，若有调整将另行通知。决赛形式为调研成果陈述、现场答辩，届时各参赛团队需携带若干份调研成果纸质版（A4纸打印）至决赛现场。</w:t>
      </w:r>
    </w:p>
    <w:p>
      <w:pPr>
        <w:widowControl/>
        <w:spacing w:line="360" w:lineRule="auto"/>
        <w:rPr>
          <w:rFonts w:ascii="仿宋" w:hAnsi="仿宋" w:eastAsia="仿宋" w:cs="仿宋"/>
          <w:kern w:val="0"/>
          <w:sz w:val="24"/>
        </w:rPr>
      </w:pPr>
      <w:r>
        <w:rPr>
          <w:rFonts w:hint="eastAsia" w:ascii="仿宋" w:hAnsi="仿宋" w:eastAsia="仿宋" w:cs="仿宋"/>
          <w:sz w:val="28"/>
          <w:szCs w:val="28"/>
        </w:rPr>
        <w:t>（注：各参赛团队要求制作PPT或者视频并进行现场展示和讲解，PPT或视频内容应包含：调研构思，调研经过，调研目的，调研结论等。）</w:t>
      </w:r>
    </w:p>
    <w:p>
      <w:pPr>
        <w:widowControl/>
        <w:spacing w:line="360" w:lineRule="auto"/>
        <w:ind w:firstLine="562" w:firstLineChars="200"/>
        <w:rPr>
          <w:rFonts w:ascii="仿宋" w:hAnsi="仿宋" w:eastAsia="仿宋" w:cs="仿宋"/>
          <w:kern w:val="0"/>
          <w:sz w:val="24"/>
        </w:rPr>
      </w:pPr>
      <w:r>
        <w:rPr>
          <w:rFonts w:hint="eastAsia" w:ascii="仿宋" w:hAnsi="仿宋" w:eastAsia="仿宋" w:cs="仿宋"/>
          <w:b/>
          <w:sz w:val="28"/>
          <w:szCs w:val="28"/>
        </w:rPr>
        <w:t>A、流程：</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1.决赛将于研究生院举行，各参赛团队在赛前进行抽签，并按照抽签顺序依次陈述调研成果。团队所有成员需到场，由参赛团队代表负责阐述调研成果、介绍调研成果的详细内容。调研成果以PPT或视频的形式展现。</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2.团队所有成员上台接受答疑，评委老师及大众评审对团队进行打分。</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3.现场宣布各参赛团队成绩，按总成绩评出若干奖项。</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4.颁发荣誉证书。</w:t>
      </w:r>
    </w:p>
    <w:p>
      <w:pPr>
        <w:widowControl/>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B、说明：</w:t>
      </w:r>
    </w:p>
    <w:p>
      <w:pPr>
        <w:widowControl/>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正式进行实地调研前，各参赛团队仍需找到一位指导老师（如团队某成员的导师等），在进行实地调研及撰写调研成果时，需经过指导老师的指导修改后方可提交。决赛当天提交的调研成果均需自行打印纸质版，并且封面必须附上指导老师的签名。</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2.参赛团队应避免调研作品一稿多投，调研成果须为各参赛团队原创，应未曾公开发表过，严禁抄袭、剽窃，一经发现将取消参赛资格。</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3.实地调研时应实事求是地取得数据、资料，在撰写调研报告或学术论文时进行引用和数据分析，用数据佐证观点、反映调研选题研究的实质性问题。</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4.在202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1日之前，各参赛团队须将团队成员介绍、调研实施过程说明以及调研成果等以PPT或视频的形式制作完成，同时上交相关材料。如有变动的，须在截止时间之前修改提交，截止时间后将不可再次提交，调研成果以截止时间前提交的最终版本为准。</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5.每支团队上台时间为10分钟，其中展示时间5分钟，答疑时间5分钟。</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6.在进行调研成果展示时，允许相应团队成员携带纸质版材料，同时也需在决赛当天携带调研成果纸质版（A4纸打印）供评委老师翻阅。</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7.本场比赛将采取百分制的原则进行打分，通过计算平均得分的方式得出各参赛团队的成绩。</w:t>
      </w:r>
    </w:p>
    <w:p>
      <w:pPr>
        <w:widowControl/>
        <w:spacing w:line="360" w:lineRule="auto"/>
        <w:ind w:firstLine="560" w:firstLineChars="200"/>
        <w:jc w:val="left"/>
        <w:rPr>
          <w:rFonts w:ascii="仿宋" w:hAnsi="仿宋" w:eastAsia="仿宋" w:cs="仿宋"/>
          <w:kern w:val="0"/>
          <w:sz w:val="24"/>
        </w:rPr>
      </w:pPr>
      <w:r>
        <w:rPr>
          <w:rFonts w:hint="eastAsia" w:ascii="仿宋" w:hAnsi="仿宋" w:eastAsia="仿宋" w:cs="仿宋"/>
          <w:sz w:val="28"/>
          <w:szCs w:val="28"/>
        </w:rPr>
        <w:t>8.各参赛团队的最终成绩由评委老师分数、大众评审分数和调研表现分数三个部分组成。</w:t>
      </w:r>
    </w:p>
    <w:p>
      <w:pPr>
        <w:widowControl/>
        <w:spacing w:line="360" w:lineRule="auto"/>
        <w:ind w:firstLine="562" w:firstLineChars="200"/>
        <w:rPr>
          <w:rFonts w:ascii="仿宋" w:hAnsi="仿宋" w:eastAsia="仿宋" w:cs="仿宋"/>
          <w:kern w:val="0"/>
          <w:sz w:val="24"/>
        </w:rPr>
      </w:pPr>
      <w:r>
        <w:rPr>
          <w:rFonts w:hint="eastAsia" w:ascii="仿宋" w:hAnsi="仿宋" w:eastAsia="仿宋" w:cs="仿宋"/>
          <w:b/>
          <w:sz w:val="28"/>
          <w:szCs w:val="28"/>
        </w:rPr>
        <w:t>C、总决赛具体要求：</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1.大赛前通过抽签决定各参赛团队的先后顺序，并按照抽签顺序依次陈述调研成果，最终按分数高低产生若干奖项。</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2.每支参赛团队的负责人应联系大赛组委会，及时上交调研成果，务必在规定时间前将各项成果的电子版、打印版以及答辩环节中本团队所需要使用的PPT、图片或视频制作完成并上交。</w:t>
      </w:r>
    </w:p>
    <w:p>
      <w:pPr>
        <w:widowControl/>
        <w:spacing w:line="360" w:lineRule="auto"/>
        <w:rPr>
          <w:rFonts w:ascii="仿宋" w:hAnsi="仿宋" w:eastAsia="仿宋" w:cs="仿宋"/>
          <w:kern w:val="0"/>
          <w:sz w:val="24"/>
        </w:rPr>
      </w:pPr>
      <w:r>
        <w:rPr>
          <w:rFonts w:hint="eastAsia" w:ascii="仿宋" w:hAnsi="仿宋" w:eastAsia="仿宋" w:cs="仿宋"/>
          <w:sz w:val="28"/>
          <w:szCs w:val="28"/>
        </w:rPr>
        <w:t>现场陈述：采用口述、多媒体演示等方式，建议由队长进行陈述，时间以10分钟左右为宜。</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3.评分标准及评分细则</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（1）调研表现分数总分100分，包括实地调研照片、指导老师签名和现场展示，占总评分数的10%。</w:t>
      </w:r>
    </w:p>
    <w:p>
      <w:pPr>
        <w:widowControl/>
        <w:spacing w:line="360" w:lineRule="auto"/>
        <w:rPr>
          <w:rFonts w:ascii="仿宋" w:hAnsi="仿宋" w:eastAsia="仿宋" w:cs="仿宋"/>
          <w:sz w:val="28"/>
          <w:szCs w:val="28"/>
        </w:rPr>
      </w:pPr>
      <w:r>
        <w:rPr>
          <w:rFonts w:hint="eastAsia" w:ascii="仿宋" w:hAnsi="仿宋" w:eastAsia="仿宋" w:cs="仿宋"/>
          <w:sz w:val="28"/>
          <w:szCs w:val="28"/>
        </w:rPr>
        <w:t>（注：调研现场照片至少三张，必须为调研工作进行时的照片，不可摆拍）</w:t>
      </w:r>
    </w:p>
    <w:p>
      <w:pPr>
        <w:widowControl/>
        <w:spacing w:line="360" w:lineRule="auto"/>
        <w:rPr>
          <w:rFonts w:ascii="仿宋" w:hAnsi="仿宋" w:eastAsia="仿宋" w:cs="仿宋"/>
          <w:sz w:val="28"/>
          <w:szCs w:val="28"/>
        </w:rPr>
      </w:pPr>
      <w:r>
        <w:rPr>
          <w:rFonts w:hint="eastAsia" w:ascii="仿宋" w:hAnsi="仿宋" w:eastAsia="仿宋" w:cs="仿宋"/>
          <w:sz w:val="28"/>
          <w:szCs w:val="28"/>
        </w:rPr>
        <w:t>示例：</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5145405" cy="3248660"/>
            <wp:effectExtent l="0" t="0" r="17145" b="8890"/>
            <wp:docPr id="9" name="图片 10" descr="微信图片_2018112412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微信图片_20181124124815"/>
                    <pic:cNvPicPr>
                      <a:picLocks noChangeAspect="1"/>
                    </pic:cNvPicPr>
                  </pic:nvPicPr>
                  <pic:blipFill>
                    <a:blip r:embed="rId6"/>
                    <a:stretch>
                      <a:fillRect/>
                    </a:stretch>
                  </pic:blipFill>
                  <pic:spPr>
                    <a:xfrm>
                      <a:off x="0" y="0"/>
                      <a:ext cx="5145405" cy="3248660"/>
                    </a:xfrm>
                    <a:prstGeom prst="rect">
                      <a:avLst/>
                    </a:prstGeom>
                    <a:noFill/>
                    <a:ln>
                      <a:noFill/>
                    </a:ln>
                  </pic:spPr>
                </pic:pic>
              </a:graphicData>
            </a:graphic>
          </wp:inline>
        </w:drawing>
      </w:r>
    </w:p>
    <w:p>
      <w:pPr>
        <w:widowControl/>
        <w:spacing w:line="360" w:lineRule="auto"/>
        <w:ind w:firstLine="560" w:firstLineChars="200"/>
        <w:rPr>
          <w:rFonts w:ascii="仿宋" w:hAnsi="仿宋" w:eastAsia="仿宋" w:cs="仿宋"/>
          <w:sz w:val="28"/>
          <w:szCs w:val="28"/>
        </w:rPr>
      </w:pP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）大众评审打分总分100分，占总评分数的10%。大众评审由100个人组成，每人一个手举牌，举起表示支持，一个手举牌代表一分，满分100分。</w:t>
      </w:r>
    </w:p>
    <w:p>
      <w:pPr>
        <w:widowControl/>
        <w:spacing w:line="360" w:lineRule="auto"/>
        <w:ind w:firstLine="560" w:firstLineChars="200"/>
        <w:rPr>
          <w:rFonts w:ascii="仿宋" w:hAnsi="仿宋" w:eastAsia="仿宋" w:cs="仿宋"/>
          <w:kern w:val="0"/>
          <w:sz w:val="24"/>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）评委老师打分总分100分，占总评分数的80%。取评委老师打分的平均值。具体参考分值如下：</w:t>
      </w:r>
    </w:p>
    <w:p>
      <w:pPr>
        <w:widowControl/>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①调研过程及成果（</w:t>
      </w:r>
      <w:r>
        <w:rPr>
          <w:rFonts w:ascii="仿宋" w:hAnsi="仿宋" w:eastAsia="仿宋" w:cs="仿宋"/>
          <w:sz w:val="28"/>
          <w:szCs w:val="28"/>
        </w:rPr>
        <w:t>6</w:t>
      </w:r>
      <w:r>
        <w:rPr>
          <w:rFonts w:hint="eastAsia" w:ascii="仿宋" w:hAnsi="仿宋" w:eastAsia="仿宋" w:cs="仿宋"/>
          <w:sz w:val="28"/>
          <w:szCs w:val="28"/>
        </w:rPr>
        <w:t>0分）</w:t>
      </w:r>
    </w:p>
    <w:p>
      <w:pPr>
        <w:widowControl/>
        <w:spacing w:line="360" w:lineRule="auto"/>
        <w:ind w:firstLine="1120" w:firstLineChars="400"/>
        <w:rPr>
          <w:rFonts w:hint="eastAsia" w:ascii="仿宋" w:hAnsi="仿宋" w:eastAsia="仿宋" w:cs="仿宋"/>
          <w:sz w:val="28"/>
          <w:szCs w:val="28"/>
        </w:rPr>
      </w:pPr>
      <w:bookmarkStart w:id="2" w:name="_Hlk21524659"/>
      <w:r>
        <w:rPr>
          <w:rFonts w:hint="eastAsia" w:ascii="仿宋" w:hAnsi="仿宋" w:eastAsia="仿宋" w:cs="仿宋"/>
          <w:sz w:val="28"/>
          <w:szCs w:val="28"/>
        </w:rPr>
        <w:t>a</w:t>
      </w:r>
      <w:r>
        <w:rPr>
          <w:rFonts w:ascii="仿宋" w:hAnsi="仿宋" w:eastAsia="仿宋" w:cs="仿宋"/>
          <w:sz w:val="28"/>
          <w:szCs w:val="28"/>
        </w:rPr>
        <w:t>.</w:t>
      </w:r>
      <w:r>
        <w:rPr>
          <w:rFonts w:hint="eastAsia" w:ascii="仿宋" w:hAnsi="仿宋" w:eastAsia="仿宋" w:cs="仿宋"/>
          <w:sz w:val="28"/>
          <w:szCs w:val="28"/>
        </w:rPr>
        <w:t>调查组织合理，过程完整，</w:t>
      </w:r>
      <w:r>
        <w:rPr>
          <w:rFonts w:ascii="仿宋" w:hAnsi="仿宋" w:eastAsia="仿宋" w:cs="仿宋"/>
          <w:sz w:val="28"/>
          <w:szCs w:val="28"/>
        </w:rPr>
        <w:t>20</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b</w:t>
      </w:r>
      <w:r>
        <w:rPr>
          <w:rFonts w:ascii="仿宋" w:hAnsi="仿宋" w:eastAsia="仿宋" w:cs="仿宋"/>
          <w:sz w:val="28"/>
          <w:szCs w:val="28"/>
        </w:rPr>
        <w:t>.</w:t>
      </w:r>
      <w:r>
        <w:rPr>
          <w:rFonts w:hint="eastAsia" w:ascii="仿宋" w:hAnsi="仿宋" w:eastAsia="仿宋" w:cs="仿宋"/>
          <w:sz w:val="28"/>
          <w:szCs w:val="28"/>
        </w:rPr>
        <w:t>数据运用充分，分析支持结论，2</w:t>
      </w:r>
      <w:r>
        <w:rPr>
          <w:rFonts w:ascii="仿宋" w:hAnsi="仿宋" w:eastAsia="仿宋" w:cs="仿宋"/>
          <w:sz w:val="28"/>
          <w:szCs w:val="28"/>
        </w:rPr>
        <w:t>0</w:t>
      </w:r>
      <w:r>
        <w:rPr>
          <w:rFonts w:hint="eastAsia" w:ascii="仿宋" w:hAnsi="仿宋" w:eastAsia="仿宋" w:cs="仿宋"/>
          <w:sz w:val="28"/>
          <w:szCs w:val="28"/>
        </w:rPr>
        <w:t>分；</w:t>
      </w:r>
    </w:p>
    <w:p>
      <w:pPr>
        <w:widowControl/>
        <w:spacing w:line="360" w:lineRule="auto"/>
        <w:ind w:firstLine="1120" w:firstLineChars="400"/>
        <w:rPr>
          <w:rFonts w:hint="eastAsia" w:ascii="仿宋" w:hAnsi="仿宋" w:eastAsia="仿宋" w:cs="仿宋"/>
          <w:kern w:val="0"/>
          <w:sz w:val="24"/>
        </w:rPr>
      </w:pPr>
      <w:r>
        <w:rPr>
          <w:rFonts w:hint="eastAsia" w:ascii="仿宋" w:hAnsi="仿宋" w:eastAsia="仿宋" w:cs="仿宋"/>
          <w:sz w:val="28"/>
          <w:szCs w:val="28"/>
        </w:rPr>
        <w:t>b</w:t>
      </w:r>
      <w:r>
        <w:rPr>
          <w:rFonts w:ascii="仿宋" w:hAnsi="仿宋" w:eastAsia="仿宋" w:cs="仿宋"/>
          <w:sz w:val="28"/>
          <w:szCs w:val="28"/>
        </w:rPr>
        <w:t>.</w:t>
      </w:r>
      <w:bookmarkEnd w:id="2"/>
      <w:r>
        <w:rPr>
          <w:rFonts w:hint="eastAsia" w:ascii="仿宋" w:hAnsi="仿宋" w:eastAsia="仿宋" w:cs="仿宋"/>
          <w:sz w:val="28"/>
          <w:szCs w:val="28"/>
        </w:rPr>
        <w:t>调研成果文本体现逻辑性、科学性（图表或公式），2</w:t>
      </w:r>
      <w:r>
        <w:rPr>
          <w:rFonts w:ascii="仿宋" w:hAnsi="仿宋" w:eastAsia="仿宋" w:cs="仿宋"/>
          <w:sz w:val="28"/>
          <w:szCs w:val="28"/>
        </w:rPr>
        <w:t>0</w:t>
      </w:r>
      <w:r>
        <w:rPr>
          <w:rFonts w:hint="eastAsia" w:ascii="仿宋" w:hAnsi="仿宋" w:eastAsia="仿宋" w:cs="仿宋"/>
          <w:sz w:val="28"/>
          <w:szCs w:val="28"/>
        </w:rPr>
        <w:t>分；</w:t>
      </w:r>
    </w:p>
    <w:p>
      <w:pPr>
        <w:widowControl/>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②陈述人表达能力（1</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1120" w:firstLineChars="400"/>
        <w:rPr>
          <w:rFonts w:hint="eastAsia" w:ascii="仿宋" w:hAnsi="仿宋" w:eastAsia="仿宋" w:cs="仿宋"/>
          <w:sz w:val="28"/>
          <w:szCs w:val="28"/>
        </w:rPr>
      </w:pPr>
      <w:bookmarkStart w:id="3" w:name="_Hlk21525672"/>
      <w:r>
        <w:rPr>
          <w:rFonts w:hint="eastAsia" w:ascii="仿宋" w:hAnsi="仿宋" w:eastAsia="仿宋" w:cs="仿宋"/>
          <w:sz w:val="28"/>
          <w:szCs w:val="28"/>
        </w:rPr>
        <w:t>a</w:t>
      </w:r>
      <w:r>
        <w:rPr>
          <w:rFonts w:ascii="仿宋" w:hAnsi="仿宋" w:eastAsia="仿宋" w:cs="仿宋"/>
          <w:sz w:val="28"/>
          <w:szCs w:val="28"/>
        </w:rPr>
        <w:t>.</w:t>
      </w:r>
      <w:bookmarkEnd w:id="3"/>
      <w:r>
        <w:rPr>
          <w:rFonts w:hint="eastAsia" w:ascii="仿宋" w:hAnsi="仿宋" w:eastAsia="仿宋" w:cs="仿宋"/>
          <w:sz w:val="28"/>
          <w:szCs w:val="28"/>
        </w:rPr>
        <w:t>逻辑性强，</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b</w:t>
      </w:r>
      <w:r>
        <w:rPr>
          <w:rFonts w:ascii="仿宋" w:hAnsi="仿宋" w:eastAsia="仿宋" w:cs="仿宋"/>
          <w:sz w:val="28"/>
          <w:szCs w:val="28"/>
        </w:rPr>
        <w:t>.</w:t>
      </w:r>
      <w:r>
        <w:rPr>
          <w:rFonts w:hint="eastAsia" w:ascii="仿宋" w:hAnsi="仿宋" w:eastAsia="仿宋" w:cs="仿宋"/>
          <w:sz w:val="28"/>
          <w:szCs w:val="28"/>
        </w:rPr>
        <w:t>语言简炼，</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1120" w:firstLineChars="400"/>
        <w:rPr>
          <w:rFonts w:hint="eastAsia" w:ascii="仿宋" w:hAnsi="仿宋" w:eastAsia="仿宋" w:cs="仿宋"/>
          <w:kern w:val="0"/>
          <w:sz w:val="24"/>
        </w:rPr>
      </w:pPr>
      <w:r>
        <w:rPr>
          <w:rFonts w:hint="eastAsia" w:ascii="仿宋" w:hAnsi="仿宋" w:eastAsia="仿宋" w:cs="仿宋"/>
          <w:sz w:val="28"/>
          <w:szCs w:val="28"/>
        </w:rPr>
        <w:t>c</w:t>
      </w:r>
      <w:r>
        <w:rPr>
          <w:rFonts w:ascii="仿宋" w:hAnsi="仿宋" w:eastAsia="仿宋" w:cs="仿宋"/>
          <w:sz w:val="28"/>
          <w:szCs w:val="28"/>
        </w:rPr>
        <w:t>.</w:t>
      </w:r>
      <w:r>
        <w:rPr>
          <w:rFonts w:hint="eastAsia" w:ascii="仿宋" w:hAnsi="仿宋" w:eastAsia="仿宋" w:cs="仿宋"/>
          <w:sz w:val="28"/>
          <w:szCs w:val="28"/>
        </w:rPr>
        <w:t>口齿清楚，</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840" w:firstLineChars="300"/>
        <w:rPr>
          <w:rFonts w:ascii="仿宋" w:hAnsi="仿宋" w:eastAsia="仿宋" w:cs="仿宋"/>
          <w:kern w:val="0"/>
          <w:sz w:val="24"/>
        </w:rPr>
      </w:pPr>
      <w:r>
        <w:rPr>
          <w:rFonts w:hint="eastAsia" w:ascii="仿宋" w:hAnsi="仿宋" w:eastAsia="仿宋" w:cs="仿宋"/>
          <w:sz w:val="28"/>
          <w:szCs w:val="28"/>
        </w:rPr>
        <w:t>③PPT、视频制作水平（</w:t>
      </w:r>
      <w:r>
        <w:rPr>
          <w:rFonts w:ascii="仿宋" w:hAnsi="仿宋" w:eastAsia="仿宋" w:cs="仿宋"/>
          <w:sz w:val="28"/>
          <w:szCs w:val="28"/>
        </w:rPr>
        <w:t>15</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kern w:val="0"/>
          <w:sz w:val="24"/>
        </w:rPr>
      </w:pPr>
      <w:r>
        <w:rPr>
          <w:rFonts w:hint="eastAsia" w:ascii="仿宋" w:hAnsi="仿宋" w:eastAsia="仿宋" w:cs="仿宋"/>
          <w:sz w:val="28"/>
          <w:szCs w:val="28"/>
        </w:rPr>
        <w:t>a</w:t>
      </w:r>
      <w:r>
        <w:rPr>
          <w:rFonts w:ascii="仿宋" w:hAnsi="仿宋" w:eastAsia="仿宋" w:cs="仿宋"/>
          <w:sz w:val="28"/>
          <w:szCs w:val="28"/>
        </w:rPr>
        <w:t>.</w:t>
      </w:r>
      <w:r>
        <w:rPr>
          <w:rFonts w:hint="eastAsia" w:ascii="仿宋" w:hAnsi="仿宋" w:eastAsia="仿宋" w:cs="仿宋"/>
          <w:sz w:val="28"/>
          <w:szCs w:val="28"/>
        </w:rPr>
        <w:t>PPT、视频制作精美，条理清晰，</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kern w:val="0"/>
          <w:sz w:val="24"/>
        </w:rPr>
      </w:pPr>
      <w:r>
        <w:rPr>
          <w:rFonts w:hint="eastAsia" w:ascii="仿宋" w:hAnsi="仿宋" w:eastAsia="仿宋" w:cs="仿宋"/>
          <w:sz w:val="28"/>
          <w:szCs w:val="28"/>
        </w:rPr>
        <w:t>b</w:t>
      </w:r>
      <w:r>
        <w:rPr>
          <w:rFonts w:ascii="仿宋" w:hAnsi="仿宋" w:eastAsia="仿宋" w:cs="仿宋"/>
          <w:sz w:val="28"/>
          <w:szCs w:val="28"/>
        </w:rPr>
        <w:t>.</w:t>
      </w:r>
      <w:r>
        <w:rPr>
          <w:rFonts w:hint="eastAsia" w:ascii="仿宋" w:hAnsi="仿宋" w:eastAsia="仿宋" w:cs="仿宋"/>
          <w:sz w:val="28"/>
          <w:szCs w:val="28"/>
        </w:rPr>
        <w:t>切合调研主题，</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kern w:val="0"/>
          <w:sz w:val="24"/>
        </w:rPr>
      </w:pPr>
      <w:r>
        <w:rPr>
          <w:rFonts w:hint="eastAsia" w:ascii="仿宋" w:hAnsi="仿宋" w:eastAsia="仿宋" w:cs="仿宋"/>
          <w:sz w:val="28"/>
          <w:szCs w:val="28"/>
        </w:rPr>
        <w:t>c</w:t>
      </w:r>
      <w:r>
        <w:rPr>
          <w:rFonts w:ascii="仿宋" w:hAnsi="仿宋" w:eastAsia="仿宋" w:cs="仿宋"/>
          <w:sz w:val="28"/>
          <w:szCs w:val="28"/>
        </w:rPr>
        <w:t>.</w:t>
      </w:r>
      <w:r>
        <w:rPr>
          <w:rFonts w:hint="eastAsia" w:ascii="仿宋" w:hAnsi="仿宋" w:eastAsia="仿宋" w:cs="仿宋"/>
          <w:sz w:val="28"/>
          <w:szCs w:val="28"/>
        </w:rPr>
        <w:t>完整反映调研过程，</w:t>
      </w:r>
      <w:r>
        <w:rPr>
          <w:rFonts w:ascii="仿宋" w:hAnsi="仿宋" w:eastAsia="仿宋" w:cs="仿宋"/>
          <w:sz w:val="28"/>
          <w:szCs w:val="28"/>
        </w:rPr>
        <w:t>5</w:t>
      </w:r>
      <w:r>
        <w:rPr>
          <w:rFonts w:hint="eastAsia" w:ascii="仿宋" w:hAnsi="仿宋" w:eastAsia="仿宋" w:cs="仿宋"/>
          <w:sz w:val="28"/>
          <w:szCs w:val="28"/>
        </w:rPr>
        <w:t>分；</w:t>
      </w:r>
    </w:p>
    <w:p>
      <w:pPr>
        <w:widowControl/>
        <w:spacing w:line="360" w:lineRule="auto"/>
        <w:ind w:firstLine="840" w:firstLineChars="300"/>
        <w:rPr>
          <w:rFonts w:ascii="仿宋" w:hAnsi="仿宋" w:eastAsia="仿宋" w:cs="仿宋"/>
          <w:kern w:val="0"/>
          <w:sz w:val="24"/>
        </w:rPr>
      </w:pPr>
      <w:r>
        <w:rPr>
          <w:rFonts w:hint="eastAsia" w:ascii="仿宋" w:hAnsi="仿宋" w:eastAsia="仿宋" w:cs="仿宋"/>
          <w:sz w:val="28"/>
          <w:szCs w:val="28"/>
        </w:rPr>
        <w:t>④团队协作能力（10分）</w:t>
      </w:r>
    </w:p>
    <w:p>
      <w:pPr>
        <w:widowControl/>
        <w:spacing w:line="360" w:lineRule="auto"/>
        <w:ind w:firstLine="1120" w:firstLineChars="400"/>
        <w:rPr>
          <w:rFonts w:ascii="仿宋" w:hAnsi="仿宋" w:eastAsia="仿宋" w:cs="仿宋"/>
          <w:kern w:val="0"/>
          <w:sz w:val="24"/>
        </w:rPr>
      </w:pPr>
      <w:bookmarkStart w:id="4" w:name="_Hlk21525565"/>
      <w:r>
        <w:rPr>
          <w:rFonts w:hint="eastAsia" w:ascii="仿宋" w:hAnsi="仿宋" w:eastAsia="仿宋" w:cs="仿宋"/>
          <w:sz w:val="28"/>
          <w:szCs w:val="28"/>
        </w:rPr>
        <w:t>a</w:t>
      </w:r>
      <w:r>
        <w:rPr>
          <w:rFonts w:ascii="仿宋" w:hAnsi="仿宋" w:eastAsia="仿宋" w:cs="仿宋"/>
          <w:sz w:val="28"/>
          <w:szCs w:val="28"/>
        </w:rPr>
        <w:t>.</w:t>
      </w:r>
      <w:r>
        <w:rPr>
          <w:rFonts w:hint="eastAsia" w:ascii="仿宋" w:hAnsi="仿宋" w:eastAsia="仿宋" w:cs="仿宋"/>
          <w:sz w:val="28"/>
          <w:szCs w:val="28"/>
        </w:rPr>
        <w:t>队员</w:t>
      </w:r>
      <w:bookmarkEnd w:id="4"/>
      <w:r>
        <w:rPr>
          <w:rFonts w:hint="eastAsia" w:ascii="仿宋" w:hAnsi="仿宋" w:eastAsia="仿宋" w:cs="仿宋"/>
          <w:sz w:val="28"/>
          <w:szCs w:val="28"/>
        </w:rPr>
        <w:t>配合默契、分工明确，</w:t>
      </w:r>
      <w:r>
        <w:rPr>
          <w:rFonts w:ascii="仿宋" w:hAnsi="仿宋" w:eastAsia="仿宋" w:cs="仿宋"/>
          <w:sz w:val="28"/>
          <w:szCs w:val="28"/>
        </w:rPr>
        <w:t>4</w:t>
      </w:r>
      <w:r>
        <w:rPr>
          <w:rFonts w:hint="eastAsia" w:ascii="仿宋" w:hAnsi="仿宋" w:eastAsia="仿宋" w:cs="仿宋"/>
          <w:sz w:val="28"/>
          <w:szCs w:val="28"/>
        </w:rPr>
        <w:t>分；</w:t>
      </w:r>
    </w:p>
    <w:p>
      <w:pPr>
        <w:widowControl/>
        <w:spacing w:line="360" w:lineRule="auto"/>
        <w:ind w:firstLine="1120" w:firstLineChars="400"/>
        <w:rPr>
          <w:rFonts w:ascii="仿宋" w:hAnsi="仿宋" w:eastAsia="仿宋" w:cs="仿宋"/>
          <w:kern w:val="0"/>
          <w:sz w:val="24"/>
        </w:rPr>
      </w:pPr>
      <w:r>
        <w:rPr>
          <w:rFonts w:hint="eastAsia" w:ascii="仿宋" w:hAnsi="仿宋" w:eastAsia="仿宋" w:cs="仿宋"/>
          <w:sz w:val="28"/>
          <w:szCs w:val="28"/>
        </w:rPr>
        <w:t>b</w:t>
      </w:r>
      <w:r>
        <w:rPr>
          <w:rFonts w:ascii="仿宋" w:hAnsi="仿宋" w:eastAsia="仿宋" w:cs="仿宋"/>
          <w:sz w:val="28"/>
          <w:szCs w:val="28"/>
        </w:rPr>
        <w:t>.</w:t>
      </w:r>
      <w:r>
        <w:rPr>
          <w:rFonts w:hint="eastAsia" w:ascii="仿宋" w:hAnsi="仿宋" w:eastAsia="仿宋" w:cs="仿宋"/>
          <w:sz w:val="28"/>
          <w:szCs w:val="28"/>
        </w:rPr>
        <w:t>队员回答评委问题积极，2分；</w:t>
      </w:r>
    </w:p>
    <w:p>
      <w:pPr>
        <w:widowControl/>
        <w:spacing w:line="360" w:lineRule="auto"/>
        <w:ind w:firstLine="1120" w:firstLineChars="400"/>
        <w:rPr>
          <w:rFonts w:ascii="仿宋" w:hAnsi="仿宋" w:eastAsia="仿宋" w:cs="仿宋"/>
          <w:kern w:val="0"/>
          <w:sz w:val="24"/>
        </w:rPr>
      </w:pPr>
      <w:r>
        <w:rPr>
          <w:rFonts w:hint="eastAsia" w:ascii="仿宋" w:hAnsi="仿宋" w:eastAsia="仿宋" w:cs="仿宋"/>
          <w:sz w:val="28"/>
          <w:szCs w:val="28"/>
        </w:rPr>
        <w:t>c</w:t>
      </w:r>
      <w:r>
        <w:rPr>
          <w:rFonts w:ascii="仿宋" w:hAnsi="仿宋" w:eastAsia="仿宋" w:cs="仿宋"/>
          <w:sz w:val="28"/>
          <w:szCs w:val="28"/>
        </w:rPr>
        <w:t>.</w:t>
      </w:r>
      <w:r>
        <w:rPr>
          <w:rFonts w:hint="eastAsia" w:ascii="仿宋" w:hAnsi="仿宋" w:eastAsia="仿宋" w:cs="仿宋"/>
          <w:sz w:val="28"/>
          <w:szCs w:val="28"/>
        </w:rPr>
        <w:t>队员回答评委问题流利，2分；</w:t>
      </w:r>
    </w:p>
    <w:p>
      <w:pPr>
        <w:widowControl/>
        <w:spacing w:line="360" w:lineRule="auto"/>
        <w:ind w:firstLine="1120" w:firstLineChars="400"/>
      </w:pPr>
      <w:r>
        <w:rPr>
          <w:rFonts w:hint="eastAsia" w:ascii="仿宋" w:hAnsi="仿宋" w:eastAsia="仿宋" w:cs="仿宋"/>
          <w:sz w:val="28"/>
          <w:szCs w:val="28"/>
        </w:rPr>
        <w:t>d</w:t>
      </w:r>
      <w:r>
        <w:rPr>
          <w:rFonts w:ascii="仿宋" w:hAnsi="仿宋" w:eastAsia="仿宋" w:cs="仿宋"/>
          <w:sz w:val="28"/>
          <w:szCs w:val="28"/>
        </w:rPr>
        <w:t>.</w:t>
      </w:r>
      <w:r>
        <w:rPr>
          <w:rFonts w:hint="eastAsia" w:ascii="仿宋" w:hAnsi="仿宋" w:eastAsia="仿宋" w:cs="仿宋"/>
          <w:sz w:val="28"/>
          <w:szCs w:val="28"/>
        </w:rPr>
        <w:t>队员回答评委问题精彩，2分。</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04A96"/>
    <w:rsid w:val="5017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2019-11-12T08:22:00Z</dcterms:created>
  <dc:creator>MQ</dc:creator>
  <cp:lastModifiedBy>MQ</cp:lastModifiedBy>
  <dcterms:modified xsi:type="dcterms:W3CDTF">2020-11-02T08:28:07Z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