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r7pW1gAAAAYBAAAPAAAAAAAAAAEAIAAAACIAAABkcnMvZG93bnJldi54bWxQ&#10;SwECFAAUAAAACACHTuJAfNP+e/kBAADlAwAADgAAAAAAAAABACAAAAAlAQAAZHJzL2Uyb0RvYy54&#10;bWxQSwUGAAAAAAYABgBZAQAAkAU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b1i9MAAAAGAQAADwAAAAAAAAABACAAAAAiAAAAZHJzL2Rvd25yZXYueG1sUEsB&#10;AhQAFAAAAAgAh07iQKKoCvz6AQAA5wMAAA4AAAAAAAAAAQAgAAAAIgEAAGRycy9lMm9Eb2MueG1s&#10;UEsFBgAAAAAGAAYAWQEAAI4FAAAAAA==&#10;">
                <v:fill on="f" focussize="0,0"/>
                <v:stroke weight="2pt" color="#FF0000" joinstyle="round"/>
                <v:imagedata o:title=""/>
                <o:lock v:ext="edit" aspectratio="f"/>
              </v:line>
            </w:pict>
          </mc:Fallback>
        </mc:AlternateContent>
      </w:r>
    </w:p>
    <w:p>
      <w:pPr>
        <w:wordWrap w:val="0"/>
        <w:jc w:val="right"/>
        <w:rPr>
          <w:rFonts w:ascii="仿宋_GB2312" w:hAnsi="宋体" w:eastAsia="仿宋_GB2312"/>
          <w:sz w:val="32"/>
          <w:szCs w:val="32"/>
        </w:rPr>
      </w:pPr>
      <w:r>
        <w:rPr>
          <w:rFonts w:hint="eastAsia" w:ascii="仿宋_GB2312" w:eastAsia="仿宋_GB2312"/>
          <w:sz w:val="32"/>
          <w:szCs w:val="32"/>
        </w:rPr>
        <w:t>南大研工函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r>
        <w:rPr>
          <w:rFonts w:ascii="宋体" w:hAnsi="宋体"/>
          <w:b/>
          <w:sz w:val="44"/>
          <w:szCs w:val="44"/>
        </w:rPr>
        <w:t>关于</w:t>
      </w:r>
      <w:r>
        <w:rPr>
          <w:rFonts w:hint="eastAsia" w:ascii="宋体" w:hAnsi="宋体"/>
          <w:b/>
          <w:sz w:val="44"/>
          <w:szCs w:val="44"/>
        </w:rPr>
        <w:t>做好20</w:t>
      </w:r>
      <w:r>
        <w:rPr>
          <w:rFonts w:ascii="宋体" w:hAnsi="宋体"/>
          <w:b/>
          <w:sz w:val="44"/>
          <w:szCs w:val="44"/>
        </w:rPr>
        <w:t>21</w:t>
      </w:r>
      <w:r>
        <w:rPr>
          <w:rFonts w:hint="eastAsia" w:ascii="宋体" w:hAnsi="宋体"/>
          <w:b/>
          <w:sz w:val="44"/>
          <w:szCs w:val="44"/>
        </w:rPr>
        <w:t>级</w:t>
      </w:r>
      <w:r>
        <w:rPr>
          <w:rFonts w:ascii="宋体" w:hAnsi="宋体"/>
          <w:b/>
          <w:sz w:val="44"/>
          <w:szCs w:val="44"/>
        </w:rPr>
        <w:t>研究生</w:t>
      </w:r>
      <w:r>
        <w:rPr>
          <w:rFonts w:hint="eastAsia" w:ascii="宋体" w:hAnsi="宋体"/>
          <w:b/>
          <w:sz w:val="44"/>
          <w:szCs w:val="44"/>
        </w:rPr>
        <w:t>学业</w:t>
      </w:r>
      <w:r>
        <w:rPr>
          <w:rFonts w:ascii="宋体" w:hAnsi="宋体"/>
          <w:b/>
          <w:sz w:val="44"/>
          <w:szCs w:val="44"/>
        </w:rPr>
        <w:t>奖学金</w:t>
      </w:r>
      <w:r>
        <w:rPr>
          <w:rFonts w:hint="eastAsia" w:ascii="宋体" w:hAnsi="宋体"/>
          <w:b/>
          <w:sz w:val="44"/>
          <w:szCs w:val="44"/>
        </w:rPr>
        <w:t>末次</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r>
        <w:rPr>
          <w:rFonts w:hint="eastAsia" w:ascii="宋体" w:hAnsi="宋体"/>
          <w:b/>
          <w:sz w:val="44"/>
          <w:szCs w:val="44"/>
        </w:rPr>
        <w:t>评定工作</w:t>
      </w:r>
      <w:r>
        <w:rPr>
          <w:rFonts w:ascii="宋体" w:hAnsi="宋体"/>
          <w:b/>
          <w:sz w:val="44"/>
          <w:szCs w:val="44"/>
        </w:rPr>
        <w:t>的通知</w:t>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各研究生培养单位：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根据《江西省财政厅 教育厅 人力资源和社会保障厅 退役军人事务厅 人民政府征兵办公室关于印发</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江西省学生资助资金管理办法</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的通知》（赣财教〔2023〕2号）和《南昌大学研究生学业奖学金评审办法》（南大字〔2022〕87号）文件精神，决</w:t>
      </w:r>
      <w:r>
        <w:rPr>
          <w:rFonts w:ascii="Times New Roman" w:hAnsi="Times New Roman" w:eastAsia="仿宋_GB2312" w:cs="Times New Roman"/>
          <w:color w:val="000000" w:themeColor="text1"/>
          <w:sz w:val="32"/>
          <w:szCs w:val="32"/>
          <w14:textFill>
            <w14:solidFill>
              <w14:schemeClr w14:val="tx1"/>
            </w14:solidFill>
          </w14:textFill>
        </w:rPr>
        <w:t>定通过“研究生教育</w:t>
      </w:r>
      <w:r>
        <w:rPr>
          <w:rFonts w:hint="eastAsia" w:ascii="Times New Roman" w:hAnsi="Times New Roman" w:eastAsia="仿宋_GB2312" w:cs="Times New Roman"/>
          <w:color w:val="000000" w:themeColor="text1"/>
          <w:sz w:val="32"/>
          <w:szCs w:val="32"/>
          <w14:textFill>
            <w14:solidFill>
              <w14:schemeClr w14:val="tx1"/>
            </w14:solidFill>
          </w14:textFill>
        </w:rPr>
        <w:t>教学</w:t>
      </w:r>
      <w:r>
        <w:rPr>
          <w:rFonts w:ascii="Times New Roman" w:hAnsi="Times New Roman" w:eastAsia="仿宋_GB2312" w:cs="Times New Roman"/>
          <w:color w:val="000000" w:themeColor="text1"/>
          <w:sz w:val="32"/>
          <w:szCs w:val="32"/>
          <w14:textFill>
            <w14:solidFill>
              <w14:schemeClr w14:val="tx1"/>
            </w14:solidFill>
          </w14:textFill>
        </w:rPr>
        <w:t>管理系统”平台</w:t>
      </w:r>
      <w:r>
        <w:rPr>
          <w:rFonts w:hint="eastAsia" w:ascii="Times New Roman" w:hAnsi="Times New Roman" w:eastAsia="仿宋_GB2312" w:cs="Times New Roman"/>
          <w:color w:val="000000" w:themeColor="text1"/>
          <w:sz w:val="32"/>
          <w:szCs w:val="32"/>
          <w14:textFill>
            <w14:solidFill>
              <w14:schemeClr w14:val="tx1"/>
            </w14:solidFill>
          </w14:textFill>
        </w:rPr>
        <w:t>开展202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级研究生学业奖学金末次评定工作</w:t>
      </w:r>
      <w:r>
        <w:rPr>
          <w:rFonts w:ascii="Times New Roman" w:hAnsi="Times New Roman" w:eastAsia="仿宋_GB2312" w:cs="Times New Roman"/>
          <w:color w:val="000000" w:themeColor="text1"/>
          <w:sz w:val="32"/>
          <w:szCs w:val="32"/>
          <w14:textFill>
            <w14:solidFill>
              <w14:schemeClr w14:val="tx1"/>
            </w14:solidFill>
          </w14:textFill>
        </w:rPr>
        <w:t>，现将相关事宜通知如下</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一、评定对象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在学制范围内，</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级已参加过</w:t>
      </w:r>
      <w:r>
        <w:rPr>
          <w:rFonts w:hint="eastAsia" w:ascii="Times New Roman" w:hAnsi="Times New Roman" w:eastAsia="仿宋_GB2312" w:cs="Times New Roman"/>
          <w:b/>
          <w:bCs/>
          <w:color w:val="000000" w:themeColor="text1"/>
          <w:sz w:val="32"/>
          <w:szCs w:val="32"/>
          <w14:textFill>
            <w14:solidFill>
              <w14:schemeClr w14:val="tx1"/>
            </w14:solidFill>
          </w14:textFill>
        </w:rPr>
        <w:t>两次</w:t>
      </w:r>
      <w:r>
        <w:rPr>
          <w:rFonts w:hint="eastAsia" w:ascii="Times New Roman" w:hAnsi="Times New Roman" w:eastAsia="仿宋_GB2312" w:cs="Times New Roman"/>
          <w:color w:val="000000" w:themeColor="text1"/>
          <w:sz w:val="32"/>
          <w:szCs w:val="32"/>
          <w14:textFill>
            <w14:solidFill>
              <w14:schemeClr w14:val="tx1"/>
            </w14:solidFill>
          </w14:textFill>
        </w:rPr>
        <w:t>学业奖学金评定的研究生。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二、奖励标准及比例</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tbl>
      <w:tblPr>
        <w:tblStyle w:val="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316"/>
        <w:gridCol w:w="1605"/>
        <w:gridCol w:w="2190"/>
        <w:gridCol w:w="2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类别</w:t>
            </w:r>
          </w:p>
        </w:tc>
        <w:tc>
          <w:tcPr>
            <w:tcW w:w="379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奖励标准（年/人）</w:t>
            </w:r>
          </w:p>
        </w:tc>
        <w:tc>
          <w:tcPr>
            <w:tcW w:w="2190" w:type="dxa"/>
            <w:tcBorders>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占生比例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博士研究生</w:t>
            </w:r>
          </w:p>
        </w:tc>
        <w:tc>
          <w:tcPr>
            <w:tcW w:w="379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restart"/>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硕士研究生</w:t>
            </w:r>
          </w:p>
        </w:tc>
        <w:tc>
          <w:tcPr>
            <w:tcW w:w="1605"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特等奖</w:t>
            </w:r>
          </w:p>
        </w:tc>
        <w:tc>
          <w:tcPr>
            <w:tcW w:w="2190"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一等奖</w:t>
            </w:r>
          </w:p>
        </w:tc>
        <w:tc>
          <w:tcPr>
            <w:tcW w:w="2190"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8000元</w:t>
            </w:r>
          </w:p>
        </w:tc>
        <w:tc>
          <w:tcPr>
            <w:tcW w:w="2190" w:type="dxa"/>
            <w:tcBorders>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lang w:val="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二等奖</w:t>
            </w:r>
          </w:p>
        </w:tc>
        <w:tc>
          <w:tcPr>
            <w:tcW w:w="2190" w:type="dxa"/>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4000元</w:t>
            </w:r>
          </w:p>
        </w:tc>
        <w:tc>
          <w:tcPr>
            <w:tcW w:w="2190" w:type="dxa"/>
            <w:tcBorders>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0" w:after="0" w:line="520" w:lineRule="exact"/>
              <w:ind w:firstLine="200"/>
              <w:textAlignment w:val="auto"/>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w:t>
            </w:r>
          </w:p>
        </w:tc>
      </w:tr>
    </w:tbl>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三、申请条件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楷体" w:cs="Times New Roman"/>
          <w:color w:val="000000" w:themeColor="text1"/>
          <w:sz w:val="32"/>
          <w:szCs w:val="32"/>
          <w14:textFill>
            <w14:solidFill>
              <w14:schemeClr w14:val="tx1"/>
            </w14:solidFill>
          </w14:textFill>
        </w:rPr>
        <w:t xml:space="preserve">  </w:t>
      </w:r>
      <w:r>
        <w:rPr>
          <w:rFonts w:hint="eastAsia" w:ascii="Times New Roman" w:hAnsi="Times New Roman" w:eastAsia="楷体" w:cs="Times New Roman"/>
          <w:b/>
          <w:bCs/>
          <w:color w:val="000000" w:themeColor="text1"/>
          <w:sz w:val="32"/>
          <w:szCs w:val="32"/>
          <w14:textFill>
            <w14:solidFill>
              <w14:schemeClr w14:val="tx1"/>
            </w14:solidFill>
          </w14:textFill>
        </w:rPr>
        <w:t>（一）基本条件</w:t>
      </w:r>
    </w:p>
    <w:p>
      <w:pPr>
        <w:keepNext w:val="0"/>
        <w:keepLines w:val="0"/>
        <w:pageBreakBefore w:val="0"/>
        <w:widowControl w:val="0"/>
        <w:tabs>
          <w:tab w:val="left" w:pos="1280"/>
        </w:tabs>
        <w:kinsoku/>
        <w:wordWrap/>
        <w:overflowPunct/>
        <w:topLinePunct w:val="0"/>
        <w:autoSpaceDE/>
        <w:autoSpaceDN/>
        <w:bidi w:val="0"/>
        <w:adjustRightInd/>
        <w:snapToGrid/>
        <w:spacing w:line="560" w:lineRule="exact"/>
        <w:ind w:left="1280" w:hanging="72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1.热爱社会主义祖国，拥护中国共产党的领导；</w:t>
      </w:r>
    </w:p>
    <w:p>
      <w:pPr>
        <w:keepNext w:val="0"/>
        <w:keepLines w:val="0"/>
        <w:pageBreakBefore w:val="0"/>
        <w:widowControl w:val="0"/>
        <w:tabs>
          <w:tab w:val="left" w:pos="1280"/>
        </w:tabs>
        <w:kinsoku/>
        <w:wordWrap/>
        <w:overflowPunct/>
        <w:topLinePunct w:val="0"/>
        <w:autoSpaceDE/>
        <w:autoSpaceDN/>
        <w:bidi w:val="0"/>
        <w:adjustRightInd/>
        <w:snapToGrid/>
        <w:spacing w:line="560" w:lineRule="exact"/>
        <w:ind w:left="1280" w:hanging="72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2.遵守宪法和法律，遵守高等学校规章制度；</w:t>
      </w:r>
    </w:p>
    <w:p>
      <w:pPr>
        <w:keepNext w:val="0"/>
        <w:keepLines w:val="0"/>
        <w:pageBreakBefore w:val="0"/>
        <w:widowControl w:val="0"/>
        <w:tabs>
          <w:tab w:val="left" w:pos="1280"/>
        </w:tabs>
        <w:kinsoku/>
        <w:wordWrap/>
        <w:overflowPunct/>
        <w:topLinePunct w:val="0"/>
        <w:autoSpaceDE/>
        <w:autoSpaceDN/>
        <w:bidi w:val="0"/>
        <w:adjustRightInd/>
        <w:snapToGrid/>
        <w:spacing w:line="560" w:lineRule="exact"/>
        <w:ind w:left="1280" w:hanging="72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3.诚实守信，品学兼优；</w:t>
      </w:r>
    </w:p>
    <w:p>
      <w:pPr>
        <w:keepNext w:val="0"/>
        <w:keepLines w:val="0"/>
        <w:pageBreakBefore w:val="0"/>
        <w:widowControl w:val="0"/>
        <w:tabs>
          <w:tab w:val="left" w:pos="1280"/>
        </w:tabs>
        <w:kinsoku/>
        <w:wordWrap/>
        <w:overflowPunct/>
        <w:topLinePunct w:val="0"/>
        <w:autoSpaceDE/>
        <w:autoSpaceDN/>
        <w:bidi w:val="0"/>
        <w:adjustRightInd/>
        <w:snapToGrid/>
        <w:spacing w:line="560" w:lineRule="exact"/>
        <w:ind w:left="1280" w:hanging="72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4.积极参与科学研究和社会实践。</w:t>
      </w:r>
      <w:bookmarkStart w:id="0" w:name="_GoBack"/>
      <w:bookmarkEnd w:id="0"/>
    </w:p>
    <w:p>
      <w:pPr>
        <w:keepNext w:val="0"/>
        <w:keepLines w:val="0"/>
        <w:pageBreakBefore w:val="0"/>
        <w:widowControl w:val="0"/>
        <w:tabs>
          <w:tab w:val="left" w:pos="1280"/>
        </w:tabs>
        <w:kinsoku/>
        <w:wordWrap/>
        <w:overflowPunct/>
        <w:topLinePunct w:val="0"/>
        <w:autoSpaceDE/>
        <w:autoSpaceDN/>
        <w:bidi w:val="0"/>
        <w:adjustRightInd/>
        <w:snapToGrid/>
        <w:spacing w:line="560" w:lineRule="exact"/>
        <w:ind w:left="1280" w:hanging="720"/>
        <w:textAlignment w:val="auto"/>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（二）末次评定具体条件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博士研究生学业奖学金培养单位考核直接报送结果。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特等学业奖学金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评定条件（并列条件）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①依据评定指标体系，综合评定总分排名在前10%的研究生；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②有较好的学术科研业绩或相应的专业技能获奖业绩。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一等学业奖学金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评定条件（选择条件）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①第一志愿报考我校并录取的优质生源（由各培养单位认定）；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②本校及外校推荐免试到我校入学的研究生（含研究生支教生）;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③依据评定指标体系，综合评定总分排名成绩相对靠前的研究生。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二等奖学业奖学金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培养单位研究生学业奖学金评审委员会评审同意的研究生。</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四、评定原则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研究生学业奖学金末次评定，原则上依据综合评定指标体系考核，实行滚动制。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研究生第三学年学业奖学金综合评定各指标的权重分别为：</w:t>
      </w:r>
      <w:r>
        <w:rPr>
          <w:rFonts w:hint="eastAsia" w:ascii="Times New Roman" w:hAnsi="Times New Roman" w:eastAsia="仿宋_GB2312" w:cs="Times New Roman"/>
          <w:color w:val="000000" w:themeColor="text1"/>
          <w:kern w:val="0"/>
          <w:sz w:val="32"/>
          <w:szCs w:val="32"/>
          <w14:textFill>
            <w14:solidFill>
              <w14:schemeClr w14:val="tx1"/>
            </w14:solidFill>
          </w14:textFill>
        </w:rPr>
        <w:t>导师考核5%；思想品德表现5—10%；课业成绩10—20%（只计算论文开题成绩等）；学术表现70—80%；社会活动5%。</w:t>
      </w:r>
      <w:r>
        <w:rPr>
          <w:rFonts w:hint="eastAsia" w:ascii="Times New Roman" w:hAnsi="Times New Roman" w:eastAsia="仿宋_GB2312" w:cs="Times New Roman"/>
          <w:color w:val="000000" w:themeColor="text1"/>
          <w:sz w:val="32"/>
          <w:szCs w:val="32"/>
          <w14:textFill>
            <w14:solidFill>
              <w14:schemeClr w14:val="tx1"/>
            </w14:solidFill>
          </w14:textFill>
        </w:rPr>
        <w:t>各培养单位</w:t>
      </w:r>
      <w:r>
        <w:rPr>
          <w:rFonts w:hint="eastAsia" w:ascii="Times New Roman" w:hAnsi="Times New Roman" w:eastAsia="仿宋_GB2312" w:cs="Times New Roman"/>
          <w:color w:val="000000" w:themeColor="text1"/>
          <w:kern w:val="0"/>
          <w:sz w:val="32"/>
          <w:szCs w:val="32"/>
          <w14:textFill>
            <w14:solidFill>
              <w14:schemeClr w14:val="tx1"/>
            </w14:solidFill>
          </w14:textFill>
        </w:rPr>
        <w:t>可根据本单位实际情况在范围内选择权重。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.各考核指标具体考核内容及量化由</w:t>
      </w:r>
      <w:r>
        <w:rPr>
          <w:rFonts w:hint="eastAsia" w:ascii="Times New Roman" w:hAnsi="Times New Roman" w:eastAsia="仿宋_GB2312" w:cs="Times New Roman"/>
          <w:color w:val="000000" w:themeColor="text1"/>
          <w:sz w:val="32"/>
          <w:szCs w:val="32"/>
          <w14:textFill>
            <w14:solidFill>
              <w14:schemeClr w14:val="tx1"/>
            </w14:solidFill>
          </w14:textFill>
        </w:rPr>
        <w:t>各培养单位</w:t>
      </w:r>
      <w:r>
        <w:rPr>
          <w:rFonts w:hint="eastAsia" w:ascii="Times New Roman" w:hAnsi="Times New Roman" w:eastAsia="仿宋_GB2312" w:cs="Times New Roman"/>
          <w:color w:val="000000" w:themeColor="text1"/>
          <w:kern w:val="0"/>
          <w:sz w:val="32"/>
          <w:szCs w:val="32"/>
          <w14:textFill>
            <w14:solidFill>
              <w14:schemeClr w14:val="tx1"/>
            </w14:solidFill>
          </w14:textFill>
        </w:rPr>
        <w:t>制定，但必须将操作政策告知到每位参评研究生。</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综合评定总分（100分）=</w:t>
      </w:r>
      <w:r>
        <w:rPr>
          <w:rFonts w:hint="eastAsia" w:ascii="Times New Roman" w:hAnsi="Times New Roman" w:eastAsia="仿宋_GB2312" w:cs="Times New Roman"/>
          <w:color w:val="000000" w:themeColor="text1"/>
          <w:kern w:val="0"/>
          <w:sz w:val="32"/>
          <w:szCs w:val="32"/>
          <w14:textFill>
            <w14:solidFill>
              <w14:schemeClr w14:val="tx1"/>
            </w14:solidFill>
          </w14:textFill>
        </w:rPr>
        <w:t>导师考核得分*权重系数+思想品德得分*权重系数+课业成绩得分*权重系数+学术表现得分*权重系数+社会活动得分*权重系数。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特等学业奖学金实行宁缺毋滥原则，参评对象原则上要求在中文核心期刊上发表一篇论文或者专业技能实践活动获省级以上奖励。如该项指标没有用完，可以放在一等奖学金使用。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申报学业奖学金的研究生业绩材料可与其他奖学金重复使用，但不能与之前学业奖学金本身重复，业绩截止时间202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年2月2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五、评定程序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各培养单位公布本单位制定的202</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级研究生学业奖学金评定细则。（包括权重比例及量化细则，明确优质生源认定条件）</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.请</w:t>
      </w:r>
      <w:r>
        <w:rPr>
          <w:rFonts w:hint="eastAsia" w:ascii="Times New Roman" w:hAnsi="Times New Roman" w:eastAsia="仿宋_GB2312" w:cs="Times New Roman"/>
          <w:color w:val="000000" w:themeColor="text1"/>
          <w:sz w:val="32"/>
          <w:szCs w:val="32"/>
          <w14:textFill>
            <w14:solidFill>
              <w14:schemeClr w14:val="tx1"/>
            </w14:solidFill>
          </w14:textFill>
        </w:rPr>
        <w:t>相关研究生对照条件，通过“研究生教育教学管理系统”(https://yjsgl.ncu.edu.cn/index.html)申报学业奖学金等级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并按要求填报业绩材料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培养单位评审委员会应先期成立不少于三人的工作小组线上核定各研究生相关业绩及综合评定分数。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各培养单位评审委员会依据相关政策文件评审，根据要求比例逐级核定本单位工作小组评定的研究生学业奖学金等级。</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培养单位党政联席会讨论通过相应结果并进行5个工作日公示。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各培养单位评审委员会确定本单位推荐获奖学生名单后，在南昌大学“研究生教育教学管理系统”提交审核结果，各单位评审过程小结和推荐获奖学生名单汇总表签字盖章的PDF及WORD或EXCEL的电子版通过办公网邮箱发送至研工部陈燕老师，材料报送截止时间为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年3月2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学校研究生奖助学金工作领导小组审核并公示。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hint="eastAsia" w:ascii="Times New Roman" w:hAnsi="Times New Roman" w:eastAsia="楷体" w:cs="Times New Roman"/>
          <w:b/>
          <w:bCs/>
          <w:color w:val="000000" w:themeColor="text1"/>
          <w:kern w:val="0"/>
          <w:sz w:val="32"/>
          <w:szCs w:val="32"/>
          <w14:textFill>
            <w14:solidFill>
              <w14:schemeClr w14:val="tx1"/>
            </w14:solidFill>
          </w14:textFill>
        </w:rPr>
        <w:t>.</w:t>
      </w:r>
      <w:r>
        <w:rPr>
          <w:rFonts w:hint="eastAsia" w:ascii="Times New Roman" w:hAnsi="Times New Roman" w:eastAsia="楷体" w:cs="Times New Roman"/>
          <w:b/>
          <w:bCs/>
          <w:color w:val="000000" w:themeColor="text1"/>
          <w:sz w:val="32"/>
          <w:szCs w:val="32"/>
          <w14:textFill>
            <w14:solidFill>
              <w14:schemeClr w14:val="tx1"/>
            </w14:solidFill>
          </w14:textFill>
        </w:rPr>
        <w:t>要高度重视，落实到位。</w:t>
      </w:r>
      <w:r>
        <w:rPr>
          <w:rFonts w:hint="eastAsia" w:ascii="Times New Roman" w:hAnsi="Times New Roman" w:eastAsia="仿宋_GB2312" w:cs="Times New Roman"/>
          <w:color w:val="000000" w:themeColor="text1"/>
          <w:sz w:val="32"/>
          <w:szCs w:val="32"/>
          <w14:textFill>
            <w14:solidFill>
              <w14:schemeClr w14:val="tx1"/>
            </w14:solidFill>
          </w14:textFill>
        </w:rPr>
        <w:t>研究生学业奖学金评定工作事关学生切身利益，各培养单位应高度重视，召开党政联席会议研究实施，确保学校相关改革举措落实到位。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2.要科学合理，宣传到位。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各培养单位应结合本单位实际，科学合理地制定本单位的研究生学业奖学金评定细则。确保把学校出台的政策和本单位制定的政策宣传到位。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3.要组织有力，“三公”到位。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成立由本单位主要负责人任主任委员，研究生导师代表、研究生辅导员代表、研究生代表等任委员的研究生学业奖学金评审委员会，各培养单位评委会负责本单位研究生学业奖学金的申请组织、评审等工作。确保评定工作“三公”到位。</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4.要有申诉渠道，处理到位。</w:t>
      </w:r>
      <w:r>
        <w:rPr>
          <w:rFonts w:hint="eastAsia" w:ascii="Times New Roman" w:hAnsi="Times New Roman" w:eastAsia="仿宋_GB2312" w:cs="Times New Roman"/>
          <w:color w:val="000000" w:themeColor="text1"/>
          <w:sz w:val="32"/>
          <w:szCs w:val="32"/>
          <w14:textFill>
            <w14:solidFill>
              <w14:schemeClr w14:val="tx1"/>
            </w14:solidFill>
          </w14:textFill>
        </w:rPr>
        <w:t>对学业奖学金评审结果有异议的，可在本单位公示阶段向所在单位评审委员会提出申诉，培养单位评审委员会应在3个工作日内予以研究并做出书面答复。如申诉人对答复仍存在异议，可在学校评定前向学校研究生学业奖学金评审工作领导小组提请裁决。</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党委研究生工作部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年3月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 w:cs="Times New Roman"/>
          <w:color w:val="000000" w:themeColor="text1"/>
          <w:sz w:val="32"/>
          <w:szCs w:val="32"/>
          <w14:textFill>
            <w14:solidFill>
              <w14:schemeClr w14:val="tx1"/>
            </w14:solidFill>
          </w14:textFill>
        </w:rPr>
        <w:t xml:space="preserve"> </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widowControl/>
        <w:spacing w:line="460" w:lineRule="exact"/>
        <w:rPr>
          <w:rFonts w:ascii="仿宋" w:hAnsi="仿宋" w:eastAsia="仿宋" w:cs="宋体"/>
          <w:color w:val="000000"/>
          <w:kern w:val="0"/>
          <w:sz w:val="32"/>
          <w:szCs w:val="32"/>
        </w:rPr>
      </w:pPr>
    </w:p>
    <w:p>
      <w:pPr>
        <w:pBdr>
          <w:top w:val="single" w:color="auto" w:sz="12" w:space="1"/>
          <w:bottom w:val="single" w:color="auto" w:sz="12" w:space="1"/>
        </w:pBdr>
        <w:ind w:right="-420" w:rightChars="-200" w:firstLine="320" w:firstLineChars="100"/>
      </w:pPr>
      <w:r>
        <w:rPr>
          <w:rFonts w:hint="eastAsia" w:ascii="仿宋_GB2312" w:hAnsi="宋体" w:eastAsia="仿宋_GB2312" w:cs="宋体"/>
          <w:color w:val="000000"/>
          <w:kern w:val="0"/>
          <w:sz w:val="32"/>
          <w:szCs w:val="32"/>
        </w:rPr>
        <w:t xml:space="preserve">南昌大学党委研究生工作部             </w:t>
      </w:r>
      <w:r>
        <w:rPr>
          <w:rFonts w:hint="eastAsia" w:ascii="仿宋_GB2312" w:hAnsi="宋体" w:eastAsia="仿宋_GB2312" w:cs="宋体"/>
          <w:color w:val="000000"/>
          <w:kern w:val="0"/>
          <w:sz w:val="32"/>
          <w:szCs w:val="32"/>
          <w:lang w:val="en-US" w:eastAsia="zh-CN"/>
        </w:rPr>
        <w:t xml:space="preserve"> </w:t>
      </w:r>
      <w:r>
        <w:rPr>
          <w:rFonts w:hint="eastAsia" w:ascii="仿宋_GB2312" w:hAnsi="仿宋" w:eastAsia="仿宋_GB2312" w:cs="仿宋"/>
          <w:color w:val="000000" w:themeColor="text1"/>
          <w:sz w:val="32"/>
          <w:szCs w:val="32"/>
          <w14:textFill>
            <w14:solidFill>
              <w14:schemeClr w14:val="tx1"/>
            </w14:solidFill>
          </w14:textFill>
        </w:rPr>
        <w:t>202</w:t>
      </w: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宋体" w:eastAsia="仿宋_GB2312" w:cs="宋体"/>
          <w:color w:val="000000"/>
          <w:kern w:val="0"/>
          <w:sz w:val="32"/>
          <w:szCs w:val="32"/>
        </w:rPr>
        <w:t>年3月</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sz w:val="32"/>
          <w:szCs w:val="32"/>
        </w:rPr>
        <w:t>日</w:t>
      </w:r>
    </w:p>
    <w:p>
      <w:pPr>
        <w:spacing w:line="20" w:lineRule="exact"/>
        <w:rPr>
          <w:rFonts w:ascii="仿宋" w:hAnsi="仿宋" w:eastAsia="仿宋" w:cs="仿宋"/>
          <w:sz w:val="32"/>
          <w:szCs w:val="32"/>
        </w:rPr>
      </w:pPr>
    </w:p>
    <w:sectPr>
      <w:footerReference r:id="rId3" w:type="default"/>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rPr>
      <w:fldChar w:fldCharType="end"/>
    </w:r>
    <w:r>
      <w:rPr>
        <w:rFonts w:hint="eastAsia" w:ascii="Times New Roman" w:hAnsi="Times New Roman"/>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ODQyMDk2ZTNkYzZiYmMxYzk3MGY1MDNiZDgwMjYifQ=="/>
    <w:docVar w:name="KSO_WPS_MARK_KEY" w:val="7bfaad87-b2f9-456f-9cd7-1136cf677ce6"/>
  </w:docVars>
  <w:rsids>
    <w:rsidRoot w:val="004A1072"/>
    <w:rsid w:val="0002103B"/>
    <w:rsid w:val="00173CB1"/>
    <w:rsid w:val="002A6D0B"/>
    <w:rsid w:val="00434E42"/>
    <w:rsid w:val="004A1072"/>
    <w:rsid w:val="0050708A"/>
    <w:rsid w:val="00552120"/>
    <w:rsid w:val="0059283B"/>
    <w:rsid w:val="00755DF0"/>
    <w:rsid w:val="00851650"/>
    <w:rsid w:val="00A24956"/>
    <w:rsid w:val="00AD4B7C"/>
    <w:rsid w:val="00B50CE3"/>
    <w:rsid w:val="00BF29F0"/>
    <w:rsid w:val="00EF4F9D"/>
    <w:rsid w:val="01B94B03"/>
    <w:rsid w:val="01BE7D90"/>
    <w:rsid w:val="025008C3"/>
    <w:rsid w:val="03AD29BB"/>
    <w:rsid w:val="03F2037D"/>
    <w:rsid w:val="04A47258"/>
    <w:rsid w:val="04E153E8"/>
    <w:rsid w:val="06896211"/>
    <w:rsid w:val="071238FB"/>
    <w:rsid w:val="097631D7"/>
    <w:rsid w:val="09C53822"/>
    <w:rsid w:val="0A36039E"/>
    <w:rsid w:val="0D3037CB"/>
    <w:rsid w:val="0E1E3E7A"/>
    <w:rsid w:val="0EA16002"/>
    <w:rsid w:val="10A83BAB"/>
    <w:rsid w:val="1137527F"/>
    <w:rsid w:val="12D5151E"/>
    <w:rsid w:val="12DA2C96"/>
    <w:rsid w:val="14137EEF"/>
    <w:rsid w:val="15540BEC"/>
    <w:rsid w:val="15AA0FE2"/>
    <w:rsid w:val="160457F4"/>
    <w:rsid w:val="16970417"/>
    <w:rsid w:val="18701C1B"/>
    <w:rsid w:val="23FC3FAF"/>
    <w:rsid w:val="26336EA6"/>
    <w:rsid w:val="26D07550"/>
    <w:rsid w:val="27005B64"/>
    <w:rsid w:val="27B134E6"/>
    <w:rsid w:val="28013942"/>
    <w:rsid w:val="28834C9E"/>
    <w:rsid w:val="28DD1C12"/>
    <w:rsid w:val="2A42476E"/>
    <w:rsid w:val="2AA871C5"/>
    <w:rsid w:val="2B620B9B"/>
    <w:rsid w:val="2CE90E48"/>
    <w:rsid w:val="2D452523"/>
    <w:rsid w:val="2DCB7911"/>
    <w:rsid w:val="2E882DAC"/>
    <w:rsid w:val="2F61116A"/>
    <w:rsid w:val="2FE73D65"/>
    <w:rsid w:val="30071D11"/>
    <w:rsid w:val="30C3032E"/>
    <w:rsid w:val="31A4622C"/>
    <w:rsid w:val="329A47C6"/>
    <w:rsid w:val="34127D55"/>
    <w:rsid w:val="34E34B75"/>
    <w:rsid w:val="3A0472C2"/>
    <w:rsid w:val="3AC84793"/>
    <w:rsid w:val="3B1E43B3"/>
    <w:rsid w:val="3B762441"/>
    <w:rsid w:val="3CA37533"/>
    <w:rsid w:val="3CC7264A"/>
    <w:rsid w:val="3D3D4FC4"/>
    <w:rsid w:val="3E734A16"/>
    <w:rsid w:val="3F311AED"/>
    <w:rsid w:val="3FA72BC9"/>
    <w:rsid w:val="3FF73446"/>
    <w:rsid w:val="40441BAF"/>
    <w:rsid w:val="417B60BB"/>
    <w:rsid w:val="42C617E9"/>
    <w:rsid w:val="450471A9"/>
    <w:rsid w:val="46845A12"/>
    <w:rsid w:val="46DC75FC"/>
    <w:rsid w:val="48C4659A"/>
    <w:rsid w:val="493B1291"/>
    <w:rsid w:val="49846CC0"/>
    <w:rsid w:val="49F61637"/>
    <w:rsid w:val="4D333CEE"/>
    <w:rsid w:val="4E3A10AC"/>
    <w:rsid w:val="4EC61EBC"/>
    <w:rsid w:val="4F5F701C"/>
    <w:rsid w:val="52A40492"/>
    <w:rsid w:val="52BA4B8B"/>
    <w:rsid w:val="53762B86"/>
    <w:rsid w:val="53AE3508"/>
    <w:rsid w:val="54C16083"/>
    <w:rsid w:val="55676C2B"/>
    <w:rsid w:val="56C4032F"/>
    <w:rsid w:val="57BD0D84"/>
    <w:rsid w:val="5A2E4C78"/>
    <w:rsid w:val="5B943F3A"/>
    <w:rsid w:val="5C1B251D"/>
    <w:rsid w:val="5D350452"/>
    <w:rsid w:val="5DF6347D"/>
    <w:rsid w:val="5E211941"/>
    <w:rsid w:val="5ECC3FA2"/>
    <w:rsid w:val="5F096FA4"/>
    <w:rsid w:val="5F790814"/>
    <w:rsid w:val="5F851976"/>
    <w:rsid w:val="5FAF760A"/>
    <w:rsid w:val="60386441"/>
    <w:rsid w:val="61C91EFF"/>
    <w:rsid w:val="62DB2A06"/>
    <w:rsid w:val="63502FEE"/>
    <w:rsid w:val="63A10392"/>
    <w:rsid w:val="65B01F28"/>
    <w:rsid w:val="66C2220F"/>
    <w:rsid w:val="68776D2D"/>
    <w:rsid w:val="68D13A2C"/>
    <w:rsid w:val="6930630C"/>
    <w:rsid w:val="6980175A"/>
    <w:rsid w:val="6B3E60FE"/>
    <w:rsid w:val="6B424D1B"/>
    <w:rsid w:val="6B4D1FC7"/>
    <w:rsid w:val="6F411E43"/>
    <w:rsid w:val="6F565DE7"/>
    <w:rsid w:val="6FC84312"/>
    <w:rsid w:val="70AD197A"/>
    <w:rsid w:val="71033854"/>
    <w:rsid w:val="7121017E"/>
    <w:rsid w:val="719426FE"/>
    <w:rsid w:val="72536F92"/>
    <w:rsid w:val="72B50B7E"/>
    <w:rsid w:val="74277859"/>
    <w:rsid w:val="75241FEA"/>
    <w:rsid w:val="75A9073C"/>
    <w:rsid w:val="7A320D06"/>
    <w:rsid w:val="7B173266"/>
    <w:rsid w:val="7B9A68BC"/>
    <w:rsid w:val="7BB75309"/>
    <w:rsid w:val="7CE309DD"/>
    <w:rsid w:val="7E1075B0"/>
    <w:rsid w:val="7E3A75ED"/>
    <w:rsid w:val="7EA321D2"/>
    <w:rsid w:val="7F4D213E"/>
    <w:rsid w:val="D7B7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7"/>
    <w:autoRedefine/>
    <w:qFormat/>
    <w:uiPriority w:val="0"/>
    <w:rPr>
      <w:sz w:val="18"/>
      <w:szCs w:val="18"/>
    </w:rPr>
  </w:style>
  <w:style w:type="paragraph" w:styleId="3">
    <w:name w:val="footer"/>
    <w:basedOn w:val="1"/>
    <w:link w:val="16"/>
    <w:autoRedefine/>
    <w:qFormat/>
    <w:uiPriority w:val="0"/>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qFormat/>
    <w:uiPriority w:val="0"/>
    <w:pPr>
      <w:snapToGrid w:val="0"/>
      <w:jc w:val="left"/>
    </w:pPr>
    <w:rPr>
      <w:sz w:val="18"/>
    </w:rPr>
  </w:style>
  <w:style w:type="character" w:styleId="8">
    <w:name w:val="page number"/>
    <w:basedOn w:val="7"/>
    <w:autoRedefine/>
    <w:qFormat/>
    <w:uiPriority w:val="0"/>
    <w:rPr>
      <w:rFonts w:ascii="方正仿宋_GB2312" w:hAnsi="方正仿宋_GB2312" w:eastAsia="仿宋_GB2312" w:cs="宋体"/>
      <w:color w:val="51585D"/>
      <w:kern w:val="0"/>
      <w:sz w:val="32"/>
      <w:szCs w:val="18"/>
    </w:rPr>
  </w:style>
  <w:style w:type="character" w:styleId="9">
    <w:name w:val="footnote reference"/>
    <w:basedOn w:val="7"/>
    <w:autoRedefine/>
    <w:qFormat/>
    <w:uiPriority w:val="0"/>
    <w:rPr>
      <w:vertAlign w:val="superscript"/>
    </w:rPr>
  </w:style>
  <w:style w:type="paragraph" w:customStyle="1" w:styleId="10">
    <w:name w:val="D表内1磅"/>
    <w:basedOn w:val="11"/>
    <w:autoRedefine/>
    <w:qFormat/>
    <w:uiPriority w:val="0"/>
    <w:pPr>
      <w:spacing w:before="20" w:after="20"/>
    </w:pPr>
  </w:style>
  <w:style w:type="paragraph" w:customStyle="1" w:styleId="11">
    <w:name w:val="D表内0磅"/>
    <w:basedOn w:val="12"/>
    <w:autoRedefine/>
    <w:semiHidden/>
    <w:qFormat/>
    <w:uiPriority w:val="0"/>
    <w:pPr>
      <w:spacing w:before="0" w:after="0"/>
    </w:pPr>
  </w:style>
  <w:style w:type="paragraph" w:customStyle="1" w:styleId="12">
    <w:name w:val="D表内"/>
    <w:basedOn w:val="13"/>
    <w:autoRedefine/>
    <w:semiHidden/>
    <w:qFormat/>
    <w:uiPriority w:val="0"/>
    <w:pPr>
      <w:spacing w:before="40" w:after="40"/>
    </w:pPr>
  </w:style>
  <w:style w:type="paragraph" w:customStyle="1" w:styleId="13">
    <w:name w:val="图表"/>
    <w:basedOn w:val="1"/>
    <w:autoRedefine/>
    <w:semiHidden/>
    <w:qFormat/>
    <w:uiPriority w:val="0"/>
    <w:pPr>
      <w:spacing w:before="120" w:after="120"/>
      <w:jc w:val="center"/>
    </w:pPr>
    <w:rPr>
      <w:rFonts w:ascii="Times New Roman" w:hAnsi="Times New Roman"/>
      <w:szCs w:val="21"/>
    </w:rPr>
  </w:style>
  <w:style w:type="character" w:customStyle="1" w:styleId="14">
    <w:name w:val="NormalCharacter"/>
    <w:autoRedefine/>
    <w:qFormat/>
    <w:uiPriority w:val="0"/>
    <w:rPr>
      <w:rFonts w:ascii="Calibri" w:hAnsi="Calibri" w:eastAsia="宋体" w:cs="Times New Roman"/>
      <w:kern w:val="2"/>
      <w:sz w:val="21"/>
      <w:lang w:val="en-US" w:eastAsia="zh-CN" w:bidi="ar-SA"/>
    </w:rPr>
  </w:style>
  <w:style w:type="character" w:customStyle="1" w:styleId="15">
    <w:name w:val="页眉 字符"/>
    <w:basedOn w:val="7"/>
    <w:link w:val="4"/>
    <w:autoRedefine/>
    <w:qFormat/>
    <w:uiPriority w:val="0"/>
    <w:rPr>
      <w:rFonts w:ascii="Calibri" w:hAnsi="Calibri" w:eastAsia="宋体" w:cs="Times New Roman"/>
      <w:kern w:val="2"/>
      <w:sz w:val="18"/>
      <w:szCs w:val="18"/>
    </w:rPr>
  </w:style>
  <w:style w:type="character" w:customStyle="1" w:styleId="16">
    <w:name w:val="页脚 字符"/>
    <w:basedOn w:val="7"/>
    <w:link w:val="3"/>
    <w:autoRedefine/>
    <w:qFormat/>
    <w:uiPriority w:val="0"/>
    <w:rPr>
      <w:rFonts w:ascii="Calibri" w:hAnsi="Calibri" w:eastAsia="宋体" w:cs="Times New Roman"/>
      <w:kern w:val="2"/>
      <w:sz w:val="18"/>
      <w:szCs w:val="18"/>
    </w:rPr>
  </w:style>
  <w:style w:type="character" w:customStyle="1" w:styleId="17">
    <w:name w:val="批注框文本 字符"/>
    <w:basedOn w:val="7"/>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316</Words>
  <Characters>1806</Characters>
  <Lines>15</Lines>
  <Paragraphs>4</Paragraphs>
  <TotalTime>67</TotalTime>
  <ScaleCrop>false</ScaleCrop>
  <LinksUpToDate>false</LinksUpToDate>
  <CharactersWithSpaces>2118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408408</dc:creator>
  <cp:lastModifiedBy>沁璟</cp:lastModifiedBy>
  <cp:lastPrinted>2022-03-10T18:22:00Z</cp:lastPrinted>
  <dcterms:modified xsi:type="dcterms:W3CDTF">2024-03-11T08:44:02Z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DB4B231126A54D9DBCE2A58B30AC4870</vt:lpwstr>
  </property>
</Properties>
</file>